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pPr>
      <w:r>
        <w:rPr>
          <w:b/>
          <w:sz w:val="32"/>
        </w:rPr>
        <w:t xml:space="preserve">Incident Seizures and Epilepsy Following Idiopathic Intracranial Hypertension: A Matched Cohort Study</w:t>
      </w:r>
      <w:r/>
    </w:p>
    <w:p>
      <w:pPr>
        <w:pBdr/>
        <w:spacing w:after="120"/>
        <w:ind/>
        <w:jc w:val="center"/>
        <w:rPr/>
      </w:pPr>
      <w:r>
        <w:rPr>
          <w:b w:val="0"/>
          <w:i w:val="0"/>
        </w:rPr>
        <w:t xml:space="preserve">Selim Tarabeah¹, [Co-author names], Michelle Lin¹</w:t>
      </w:r>
      <w:r/>
    </w:p>
    <w:p>
      <w:pPr>
        <w:pBdr/>
        <w:spacing w:after="120"/>
        <w:ind/>
        <w:jc w:val="center"/>
        <w:rPr/>
      </w:pPr>
      <w:r>
        <w:rPr>
          <w:b w:val="0"/>
          <w:i w:val="0"/>
        </w:rPr>
        <w:t xml:space="preserve">¹ Department of Neurology, Mayo Clinic, Jacksonville, Florida, USA</w:t>
      </w:r>
      <w:r/>
    </w:p>
    <w:p>
      <w:pPr>
        <w:pBdr/>
        <w:spacing w:after="120"/>
        <w:ind/>
        <w:jc w:val="center"/>
        <w:rPr/>
      </w:pPr>
      <w:r>
        <w:rPr>
          <w:b w:val="0"/>
          <w:i w:val="0"/>
        </w:rPr>
        <w:t xml:space="preserve">[Additional author affiliations]</w:t>
      </w:r>
      <w:r/>
    </w:p>
    <w:p>
      <w:pPr>
        <w:pBdr/>
        <w:spacing w:after="120"/>
        <w:ind/>
        <w:jc w:val="center"/>
        <w:rPr/>
      </w:pPr>
      <w:r>
        <w:rPr>
          <w:b w:val="0"/>
          <w:i w:val="0"/>
        </w:rPr>
        <w:t xml:space="preserve">Running title: Seizures after idiopathic intracranial hypertension</w:t>
      </w:r>
      <w:r/>
    </w:p>
    <w:p>
      <w:pPr>
        <w:pBdr/>
        <w:spacing w:after="120"/>
        <w:ind/>
        <w:jc w:val="center"/>
        <w:rPr/>
      </w:pPr>
      <w:r>
        <w:rPr>
          <w:b w:val="0"/>
          <w:i w:val="0"/>
        </w:rPr>
        <w:t xml:space="preserve">Correspondence: [Name, postal address, telephone, email]</w:t>
      </w:r>
      <w:r/>
    </w:p>
    <w:p>
      <w:pPr>
        <w:pBdr/>
        <w:spacing w:after="120"/>
        <w:ind/>
        <w:jc w:val="center"/>
        <w:rPr/>
      </w:pPr>
      <w:r>
        <w:rPr>
          <w:b w:val="0"/>
          <w:i w:val="0"/>
        </w:rPr>
        <w:t xml:space="preserve">Word count: main text 3,258; abstract 299</w:t>
      </w:r>
      <w:r/>
    </w:p>
    <w:p>
      <w:pPr>
        <w:pStyle w:val="693"/>
        <w:pBdr/>
        <w:spacing w:after="100" w:before="200"/>
        <w:ind/>
        <w:rPr/>
      </w:pPr>
      <w:r>
        <w:t xml:space="preserve">ABSTRACT</w:t>
      </w:r>
      <w:r/>
    </w:p>
    <w:p>
      <w:pPr>
        <w:pBdr/>
        <w:spacing w:after="120"/>
        <w:ind/>
        <w:rPr/>
      </w:pPr>
      <w:r>
        <w:rPr>
          <w:b w:val="0"/>
          <w:i w:val="0"/>
        </w:rPr>
        <w:t xml:space="preserve">Objective: To estimate the rate of incident seizures and epilepsy after idiopathic intracranial hypertension (IIH) and to examine whether differential healthcare surveillance could account for the association.</w:t>
      </w:r>
      <w:r/>
    </w:p>
    <w:p>
      <w:pPr>
        <w:pBdr/>
        <w:spacing w:after="120"/>
        <w:ind/>
        <w:rPr/>
      </w:pPr>
      <w:r>
        <w:rPr>
          <w:b w:val="0"/>
          <w:i w:val="0"/>
        </w:rPr>
        <w:t xml:space="preserve">Methods: We conducted a retrospective matched cohort study using electronic health records from Mayo Clinic. Adults with IIH, id</w:t>
      </w:r>
      <w:r>
        <w:rPr>
          <w:b w:val="0"/>
          <w:i w:val="0"/>
        </w:rPr>
        <w:t xml:space="preserve">entified by an IIH diagnosis code and lumbar puncture, were matched to up to four comparators without IIH on sex, age, body mass index (BMI), and BMI calendar year. Comparators inherited the index date of their matched case. After a 180-day washout to excl</w:t>
      </w:r>
      <w:r>
        <w:rPr>
          <w:b w:val="0"/>
          <w:i w:val="0"/>
        </w:rPr>
        <w:t xml:space="preserve">ude prevalent seizure or epilepsy diagnoses and chronic antiseizure medication use, the primary outcome was a clinically recognized seizure or epilepsy event identified by diagnosis code or sustained antiseizure medication use. Hazard ratios (HRs) were est</w:t>
      </w:r>
      <w:r>
        <w:rPr>
          <w:b w:val="0"/>
          <w:i w:val="0"/>
        </w:rPr>
        <w:t xml:space="preserve">imated with Cox regression using robust variance clustered by matched set. We evaluated differential detection using negative-control outcomes, empirical calibration, adjustment for pre-index healthcare contact, post-index surveillance rates, and E-values.</w:t>
      </w:r>
      <w:r/>
    </w:p>
    <w:p>
      <w:pPr>
        <w:pBdr/>
        <w:spacing w:after="120"/>
        <w:ind/>
        <w:rPr/>
      </w:pPr>
      <w:r>
        <w:rPr>
          <w:b w:val="0"/>
          <w:i w:val="0"/>
        </w:rPr>
        <w:t xml:space="preserve">Results: The analytic cohort included 2,138 patients with IIH and 5,743 comparators, contributing 13,938 person-years of follow-up. Incident seizure or epilepsy occurred a</w:t>
      </w:r>
      <w:r>
        <w:rPr>
          <w:b w:val="0"/>
          <w:i w:val="0"/>
        </w:rPr>
        <w:t xml:space="preserve">t 14.46 versus 6.72 events per 1,000 person-years (HR 2.28, 95% confidence interval [CI] 1.62–3.22). Three-year cumulative incidence was 3.83% versus 1.71%. The HR was 2.30 (95% CI 1.35–3.92) when restricted to epilepsy-specific codes and 1.93 (95% CI 1.34</w:t>
      </w:r>
      <w:r>
        <w:rPr>
          <w:b w:val="0"/>
          <w:i w:val="0"/>
        </w:rPr>
        <w:t xml:space="preserve">–2.77) when the medication criterion was removed. Estimates remained similar in landmark analyses and after adjustment for obstructive sleep apnea, hypertension, and polycystic ovary syndrome. Healthcare contact was substantially greater among patients wit</w:t>
      </w:r>
      <w:r>
        <w:rPr>
          <w:b w:val="0"/>
          <w:i w:val="0"/>
        </w:rPr>
        <w:t xml:space="preserve">h IIH, and all 11 negative-control outcomes were more prevalent at baseline. Adjustment for pre-index healthcare contact moved negative-control estimates toward the null but did not attenuate the seizure association. Empirical calibration was inconclusive.</w:t>
      </w:r>
      <w:r/>
    </w:p>
    <w:p>
      <w:pPr>
        <w:pBdr/>
        <w:spacing w:after="120"/>
        <w:ind/>
        <w:rPr/>
      </w:pPr>
      <w:r>
        <w:rPr>
          <w:b w:val="0"/>
          <w:i w:val="0"/>
        </w:rPr>
        <w:t xml:space="preserve">Significance: In this electronic health record cohort, IIH was associated with approximately twice the rate of incident seizure or epilepsy, although the absolute excess was modest. D</w:t>
      </w:r>
      <w:r>
        <w:rPr>
          <w:b w:val="0"/>
          <w:i w:val="0"/>
        </w:rPr>
        <w:t xml:space="preserve">ifferential surveillance was clearly present and could not be completely excluded as an explanation. The findings support further study of seizure phenotypes and potential structural mechanisms, particularly skull-base encephaloceles, in patients with IIH.</w:t>
      </w:r>
      <w:r/>
    </w:p>
    <w:p>
      <w:pPr>
        <w:pBdr/>
        <w:spacing w:after="120"/>
        <w:ind/>
        <w:rPr/>
      </w:pPr>
      <w:r>
        <w:rPr>
          <w:b w:val="0"/>
          <w:i/>
        </w:rPr>
        <w:t xml:space="preserve">Keywords: idiopathic intracranial hypertension; seizures; epilepsy; cohort study; electronic health records; healthcare surveillance</w:t>
      </w:r>
      <w:r/>
    </w:p>
    <w:p>
      <w:pPr>
        <w:pStyle w:val="693"/>
        <w:pBdr/>
        <w:spacing w:after="100" w:before="200"/>
        <w:ind/>
        <w:rPr/>
      </w:pPr>
      <w:r>
        <w:t xml:space="preserve">KEY POINTS</w:t>
      </w:r>
      <w:r/>
    </w:p>
    <w:p>
      <w:pPr>
        <w:pBdr/>
        <w:spacing w:after="120"/>
        <w:ind/>
        <w:rPr/>
      </w:pPr>
      <w:r>
        <w:rPr>
          <w:b w:val="0"/>
          <w:i w:val="0"/>
        </w:rPr>
        <w:t xml:space="preserve">• Patients with IIH had approximately twice the rate of incident seizure or epilepsy as matched comparators.</w:t>
      </w:r>
      <w:r/>
    </w:p>
    <w:p>
      <w:pPr>
        <w:pBdr/>
        <w:spacing w:after="120"/>
        <w:ind/>
        <w:rPr/>
      </w:pPr>
      <w:r>
        <w:rPr>
          <w:b w:val="0"/>
          <w:i w:val="0"/>
        </w:rPr>
        <w:t xml:space="preserve">• The absolute excess was modest: 3-year cumulative incidence was 3.83% with IIH and 1.71% without it.</w:t>
      </w:r>
      <w:r/>
    </w:p>
    <w:p>
      <w:pPr>
        <w:pBdr/>
        <w:spacing w:after="120"/>
        <w:ind/>
        <w:rPr/>
      </w:pPr>
      <w:r>
        <w:rPr>
          <w:b w:val="0"/>
          <w:i w:val="0"/>
        </w:rPr>
        <w:t xml:space="preserve">• Healthcare contact was substantially greater among patients with IIH, demonstrating an important risk of differential ascertainment.</w:t>
      </w:r>
      <w:r/>
    </w:p>
    <w:p>
      <w:pPr>
        <w:pBdr/>
        <w:spacing w:after="120"/>
        <w:ind/>
        <w:rPr/>
      </w:pPr>
      <w:r>
        <w:rPr>
          <w:b w:val="0"/>
          <w:i w:val="0"/>
        </w:rPr>
        <w:t xml:space="preserve">• Sensitivity analyses generally supported the primary association, but empirical calibration did not exclude detection bias.</w:t>
      </w:r>
      <w:r/>
    </w:p>
    <w:p>
      <w:pPr>
        <w:pBdr/>
        <w:spacing w:after="120"/>
        <w:ind/>
        <w:rPr/>
      </w:pPr>
      <w:r>
        <w:rPr>
          <w:b w:val="0"/>
          <w:i w:val="0"/>
        </w:rPr>
        <w:t xml:space="preserve">• Future studies should characterize seizure phenotype and skull-base encephaloceles prospectively.</w:t>
      </w:r>
      <w:r/>
    </w:p>
    <w:p w14:paraId="60F282FA">
      <w:pPr>
        <w:pStyle w:val="693"/>
        <w:pBdr/>
        <w:spacing w:after="100" w:before="200"/>
        <w:ind/>
        <w:rPr>
          <w:highlight w:val="none"/>
        </w:rPr>
      </w:pPr>
      <w:r>
        <w:rPr>
          <w:highlight w:val="none"/>
        </w:rPr>
      </w:r>
      <w:r>
        <w:rPr>
          <w:highlight w:val="none"/>
        </w:rPr>
      </w:r>
      <w:r>
        <w:rPr>
          <w:highlight w:val="none"/>
        </w:rPr>
      </w:r>
    </w:p>
    <w:p w14:paraId="2E763DE4">
      <w:pPr>
        <w:pStyle w:val="693"/>
        <w:pBdr/>
        <w:spacing w:after="100" w:before="200"/>
        <w:ind/>
        <w:rPr>
          <w:highlight w:val="none"/>
        </w:rPr>
      </w:pPr>
      <w:r>
        <w:rPr>
          <w:highlight w:val="none"/>
        </w:rPr>
      </w:r>
      <w:r>
        <w:rPr>
          <w:highlight w:val="none"/>
        </w:rPr>
      </w:r>
      <w:r>
        <w:rPr>
          <w:highlight w:val="none"/>
        </w:rPr>
      </w:r>
    </w:p>
    <w:p w14:paraId="09C2E68E">
      <w:pPr>
        <w:pStyle w:val="693"/>
        <w:pBdr/>
        <w:spacing w:after="100" w:before="200"/>
        <w:ind/>
        <w:rPr>
          <w:highlight w:val="none"/>
        </w:rPr>
      </w:pPr>
      <w:r>
        <w:rPr>
          <w:highlight w:val="none"/>
        </w:rPr>
      </w:r>
      <w:r>
        <w:rPr>
          <w:highlight w:val="none"/>
        </w:rPr>
      </w:r>
      <w:r>
        <w:rPr>
          <w:highlight w:val="none"/>
        </w:rPr>
      </w:r>
    </w:p>
    <w:p w14:paraId="2A2EC31B">
      <w:pPr>
        <w:pStyle w:val="693"/>
        <w:pBdr/>
        <w:spacing w:after="100" w:before="200"/>
        <w:ind/>
        <w:rPr>
          <w:highlight w:val="none"/>
        </w:rPr>
      </w:pPr>
      <w:r>
        <w:rPr>
          <w:highlight w:val="none"/>
        </w:rPr>
      </w:r>
      <w:r>
        <w:rPr>
          <w:highlight w:val="none"/>
        </w:rPr>
      </w:r>
      <w:r>
        <w:rPr>
          <w:highlight w:val="none"/>
        </w:rPr>
      </w:r>
    </w:p>
    <w:p w14:paraId="2B9C0B10">
      <w:pPr>
        <w:pStyle w:val="693"/>
        <w:pBdr/>
        <w:spacing w:after="100" w:before="200"/>
        <w:ind/>
        <w:rPr>
          <w:highlight w:val="none"/>
        </w:rPr>
      </w:pPr>
      <w:r>
        <w:rPr>
          <w:highlight w:val="none"/>
        </w:rPr>
      </w:r>
      <w:r>
        <w:rPr>
          <w:highlight w:val="none"/>
        </w:rPr>
      </w:r>
      <w:r>
        <w:rPr>
          <w:highlight w:val="none"/>
        </w:rPr>
      </w:r>
    </w:p>
    <w:p w14:paraId="2E4C035F">
      <w:pPr>
        <w:pStyle w:val="693"/>
        <w:pBdr/>
        <w:spacing w:after="100" w:before="200"/>
        <w:ind/>
        <w:rPr>
          <w:highlight w:val="none"/>
        </w:rPr>
      </w:pPr>
      <w:r>
        <w:rPr>
          <w:highlight w:val="none"/>
        </w:rPr>
      </w:r>
      <w:r>
        <w:rPr>
          <w:highlight w:val="none"/>
        </w:rPr>
      </w:r>
      <w:r>
        <w:rPr>
          <w:highlight w:val="none"/>
        </w:rPr>
      </w:r>
    </w:p>
    <w:p w14:paraId="182E5D3B">
      <w:pPr>
        <w:pStyle w:val="693"/>
        <w:pBdr/>
        <w:spacing w:after="100" w:before="200"/>
        <w:ind/>
        <w:rPr>
          <w:highlight w:val="none"/>
        </w:rPr>
      </w:pPr>
      <w:r>
        <w:rPr>
          <w:highlight w:val="none"/>
        </w:rPr>
      </w:r>
      <w:r>
        <w:rPr>
          <w:highlight w:val="none"/>
        </w:rPr>
      </w:r>
      <w:r>
        <w:rPr>
          <w:highlight w:val="none"/>
        </w:rPr>
      </w:r>
    </w:p>
    <w:p w14:paraId="31258E0E">
      <w:pPr>
        <w:pStyle w:val="693"/>
        <w:pBdr/>
        <w:spacing w:after="100" w:before="200"/>
        <w:ind/>
        <w:rPr>
          <w:highlight w:val="none"/>
        </w:rPr>
      </w:pPr>
      <w:r>
        <w:rPr>
          <w:highlight w:val="none"/>
        </w:rPr>
      </w:r>
      <w:r>
        <w:rPr>
          <w:highlight w:val="none"/>
        </w:rPr>
      </w:r>
      <w:r>
        <w:rPr>
          <w:highlight w:val="none"/>
        </w:rPr>
      </w:r>
    </w:p>
    <w:p w14:paraId="6DC74589">
      <w:pPr>
        <w:pStyle w:val="693"/>
        <w:pBdr/>
        <w:spacing w:after="100" w:before="200"/>
        <w:ind/>
        <w:rPr>
          <w:highlight w:val="none"/>
        </w:rPr>
      </w:pPr>
      <w:r>
        <w:rPr>
          <w:highlight w:val="none"/>
        </w:rPr>
      </w:r>
      <w:r>
        <w:rPr>
          <w:highlight w:val="none"/>
        </w:rPr>
      </w:r>
      <w:r>
        <w:rPr>
          <w:highlight w:val="none"/>
        </w:rPr>
      </w:r>
    </w:p>
    <w:p w14:paraId="7434BF51">
      <w:pPr>
        <w:pStyle w:val="693"/>
        <w:pBdr/>
        <w:spacing w:after="100" w:before="200"/>
        <w:ind/>
        <w:rPr>
          <w:highlight w:val="none"/>
        </w:rPr>
      </w:pPr>
      <w:r>
        <w:rPr>
          <w:highlight w:val="none"/>
        </w:rPr>
      </w:r>
      <w:r>
        <w:rPr>
          <w:highlight w:val="none"/>
        </w:rPr>
      </w:r>
      <w:r>
        <w:rPr>
          <w:highlight w:val="none"/>
        </w:rPr>
      </w:r>
    </w:p>
    <w:p w14:paraId="3A163E47">
      <w:pPr>
        <w:pStyle w:val="693"/>
        <w:pBdr/>
        <w:spacing w:after="100" w:before="200"/>
        <w:ind/>
        <w:rPr>
          <w:highlight w:val="none"/>
        </w:rPr>
      </w:pPr>
      <w:r>
        <w:rPr>
          <w:highlight w:val="none"/>
        </w:rPr>
      </w:r>
      <w:r>
        <w:rPr>
          <w:highlight w:val="none"/>
        </w:rPr>
      </w:r>
      <w:r>
        <w:rPr>
          <w:highlight w:val="none"/>
        </w:rPr>
      </w:r>
    </w:p>
    <w:p w14:paraId="7B69B96A">
      <w:pPr>
        <w:pStyle w:val="693"/>
        <w:pBdr/>
        <w:spacing w:after="100" w:before="200"/>
        <w:ind/>
        <w:rPr>
          <w:highlight w:val="none"/>
        </w:rPr>
      </w:pPr>
      <w:r>
        <w:rPr>
          <w:highlight w:val="none"/>
        </w:rPr>
      </w:r>
      <w:r>
        <w:rPr>
          <w:highlight w:val="none"/>
        </w:rPr>
      </w:r>
      <w:r>
        <w:rPr>
          <w:highlight w:val="none"/>
        </w:rPr>
      </w:r>
    </w:p>
    <w:p w14:paraId="0769EC8C">
      <w:pPr>
        <w:pStyle w:val="693"/>
        <w:pBdr/>
        <w:spacing w:after="100" w:before="200"/>
        <w:ind/>
        <w:rPr>
          <w:highlight w:val="none"/>
        </w:rPr>
      </w:pPr>
      <w:r>
        <w:rPr>
          <w:highlight w:val="none"/>
        </w:rPr>
      </w:r>
      <w:r>
        <w:rPr>
          <w:highlight w:val="none"/>
        </w:rPr>
      </w:r>
      <w:r>
        <w:rPr>
          <w:highlight w:val="none"/>
        </w:rPr>
      </w:r>
    </w:p>
    <w:p w14:paraId="1873FBC8">
      <w:pPr>
        <w:pStyle w:val="693"/>
        <w:pBdr/>
        <w:spacing w:after="100" w:before="200"/>
        <w:ind/>
        <w:rPr>
          <w:highlight w:val="none"/>
        </w:rPr>
      </w:pPr>
      <w:r>
        <w:rPr>
          <w:highlight w:val="none"/>
        </w:rPr>
      </w:r>
      <w:r>
        <w:rPr>
          <w:highlight w:val="none"/>
        </w:rPr>
      </w:r>
      <w:r>
        <w:rPr>
          <w:highlight w:val="none"/>
        </w:rPr>
      </w:r>
    </w:p>
    <w:p w14:paraId="38F90F4F">
      <w:pPr>
        <w:pStyle w:val="693"/>
        <w:pBdr/>
        <w:spacing w:after="100" w:before="200"/>
        <w:ind/>
        <w:rPr>
          <w:highlight w:val="none"/>
        </w:rPr>
      </w:pPr>
      <w:r>
        <w:rPr>
          <w:highlight w:val="none"/>
        </w:rPr>
      </w:r>
      <w:r>
        <w:rPr>
          <w:highlight w:val="none"/>
        </w:rPr>
      </w:r>
      <w:r>
        <w:rPr>
          <w:highlight w:val="none"/>
        </w:rPr>
      </w:r>
    </w:p>
    <w:p w14:paraId="7C20F9B9">
      <w:pPr>
        <w:pStyle w:val="693"/>
        <w:pBdr/>
        <w:spacing w:after="100" w:before="200"/>
        <w:ind/>
        <w:rPr>
          <w:highlight w:val="none"/>
        </w:rPr>
      </w:pPr>
      <w:r>
        <w:rPr>
          <w:highlight w:val="none"/>
        </w:rPr>
      </w:r>
      <w:r>
        <w:rPr>
          <w:highlight w:val="none"/>
        </w:rPr>
      </w:r>
      <w:r>
        <w:rPr>
          <w:highlight w:val="none"/>
        </w:rPr>
      </w:r>
    </w:p>
    <w:p w14:paraId="5D7BE033">
      <w:pPr>
        <w:pStyle w:val="693"/>
        <w:pBdr/>
        <w:spacing w:after="100" w:before="200"/>
        <w:ind/>
        <w:rPr>
          <w:highlight w:val="none"/>
        </w:rPr>
      </w:pPr>
      <w:r>
        <w:rPr>
          <w:highlight w:val="none"/>
        </w:rPr>
      </w:r>
      <w:r>
        <w:rPr>
          <w:highlight w:val="none"/>
        </w:rPr>
      </w:r>
      <w:r>
        <w:rPr>
          <w:highlight w:val="none"/>
        </w:rPr>
      </w:r>
    </w:p>
    <w:p w14:paraId="46D8D8CF">
      <w:pPr>
        <w:pStyle w:val="693"/>
        <w:pBdr/>
        <w:spacing w:after="100" w:before="200"/>
        <w:ind/>
        <w:rPr>
          <w:highlight w:val="none"/>
        </w:rPr>
      </w:pPr>
      <w:r>
        <w:rPr>
          <w:highlight w:val="none"/>
        </w:rPr>
      </w:r>
      <w:r>
        <w:rPr>
          <w:highlight w:val="none"/>
        </w:rPr>
      </w:r>
      <w:r>
        <w:rPr>
          <w:highlight w:val="none"/>
        </w:rPr>
      </w:r>
    </w:p>
    <w:p w14:paraId="20760C77">
      <w:pPr>
        <w:pStyle w:val="693"/>
        <w:pBdr/>
        <w:spacing w:after="100" w:before="200"/>
        <w:ind/>
        <w:rPr>
          <w:highlight w:val="none"/>
        </w:rPr>
      </w:pPr>
      <w:r>
        <w:rPr>
          <w:highlight w:val="none"/>
        </w:rPr>
      </w:r>
      <w:r>
        <w:rPr>
          <w:highlight w:val="none"/>
        </w:rPr>
      </w:r>
      <w:r>
        <w:rPr>
          <w:highlight w:val="none"/>
        </w:rPr>
      </w:r>
    </w:p>
    <w:p w14:paraId="7455B725">
      <w:pPr>
        <w:pStyle w:val="693"/>
        <w:pBdr/>
        <w:spacing w:after="100" w:before="200"/>
        <w:ind/>
        <w:rPr>
          <w:highlight w:val="none"/>
        </w:rPr>
      </w:pPr>
      <w:r>
        <w:rPr>
          <w:highlight w:val="none"/>
        </w:rPr>
      </w:r>
      <w:r>
        <w:rPr>
          <w:highlight w:val="none"/>
        </w:rPr>
      </w:r>
      <w:r>
        <w:rPr>
          <w:highlight w:val="none"/>
        </w:rPr>
      </w:r>
    </w:p>
    <w:p w14:paraId="0DE619B3">
      <w:pPr>
        <w:pStyle w:val="693"/>
        <w:pBdr/>
        <w:spacing w:after="100" w:before="200"/>
        <w:ind/>
        <w:rPr>
          <w:highlight w:val="none"/>
        </w:rPr>
      </w:pPr>
      <w:r>
        <w:rPr>
          <w:highlight w:val="none"/>
        </w:rPr>
      </w:r>
      <w:r>
        <w:rPr>
          <w:highlight w:val="none"/>
        </w:rPr>
      </w:r>
      <w:r>
        <w:rPr>
          <w:highlight w:val="none"/>
        </w:rPr>
      </w:r>
    </w:p>
    <w:p w14:paraId="5EC2524E">
      <w:pPr>
        <w:pStyle w:val="693"/>
        <w:pBdr/>
        <w:spacing w:after="100" w:before="200"/>
        <w:ind/>
        <w:rPr>
          <w:highlight w:val="none"/>
        </w:rPr>
      </w:pPr>
      <w:r>
        <w:rPr>
          <w:highlight w:val="none"/>
        </w:rPr>
      </w:r>
      <w:r>
        <w:rPr>
          <w:highlight w:val="none"/>
        </w:rPr>
      </w:r>
      <w:r>
        <w:rPr>
          <w:highlight w:val="none"/>
        </w:rPr>
      </w:r>
    </w:p>
    <w:p w14:paraId="2109B6E4">
      <w:pPr>
        <w:pStyle w:val="693"/>
        <w:pBdr/>
        <w:spacing w:after="100" w:before="200"/>
        <w:ind/>
        <w:rPr>
          <w:highlight w:val="none"/>
        </w:rPr>
      </w:pPr>
      <w:r>
        <w:rPr>
          <w:highlight w:val="none"/>
        </w:rPr>
      </w:r>
      <w:r>
        <w:rPr>
          <w:highlight w:val="none"/>
        </w:rPr>
      </w:r>
      <w:r>
        <w:rPr>
          <w:highlight w:val="none"/>
        </w:rPr>
      </w:r>
    </w:p>
    <w:p w14:paraId="6B219A40">
      <w:pPr>
        <w:pStyle w:val="693"/>
        <w:pBdr/>
        <w:spacing w:after="100" w:before="200"/>
        <w:ind/>
        <w:rPr>
          <w:highlight w:val="none"/>
        </w:rPr>
      </w:pPr>
      <w:r>
        <w:rPr>
          <w:highlight w:val="none"/>
        </w:rPr>
      </w:r>
      <w:r>
        <w:rPr>
          <w:highlight w:val="none"/>
        </w:rPr>
      </w:r>
      <w:r>
        <w:rPr>
          <w:highlight w:val="none"/>
        </w:rPr>
      </w:r>
    </w:p>
    <w:p w14:paraId="3C8F9C3A">
      <w:pPr>
        <w:pStyle w:val="693"/>
        <w:pBdr/>
        <w:spacing w:after="100" w:before="200"/>
        <w:ind/>
        <w:rPr>
          <w:highlight w:val="none"/>
        </w:rPr>
      </w:pPr>
      <w:r>
        <w:rPr>
          <w:highlight w:val="none"/>
        </w:rPr>
      </w:r>
      <w:r>
        <w:rPr>
          <w:highlight w:val="none"/>
        </w:rPr>
      </w:r>
      <w:r>
        <w:rPr>
          <w:highlight w:val="none"/>
        </w:rPr>
      </w:r>
    </w:p>
    <w:p>
      <w:pPr>
        <w:pStyle w:val="693"/>
        <w:pBdr/>
        <w:spacing w:after="100" w:before="200"/>
        <w:ind/>
        <w:rPr>
          <w:highlight w:val="none"/>
        </w:rPr>
      </w:pPr>
      <w:r>
        <w:t xml:space="preserve">1 | INTRODUCTION</w:t>
      </w:r>
      <w:r/>
    </w:p>
    <w:p>
      <w:pPr>
        <w:pBdr/>
        <w:spacing w:after="120"/>
        <w:ind/>
        <w:rPr/>
      </w:pPr>
      <w:r>
        <w:rPr>
          <w:b w:val="0"/>
          <w:i w:val="0"/>
        </w:rPr>
        <w:t xml:space="preserve">Idiopathic intracranial hypertension (IIH) is a disorder of raised intracranial pressure without an identifiable str</w:t>
      </w:r>
      <w:r>
        <w:rPr>
          <w:b w:val="0"/>
          <w:i w:val="0"/>
        </w:rPr>
        <w:t xml:space="preserve">uctural, vascular, or infectious cause. It occurs predominantly in women of reproductive age with obesity, and its incidence has increased alongside population obesity. The clinical burden is dominated by headache and visual loss related to papilledema.1–3</w:t>
      </w:r>
      <w:r/>
    </w:p>
    <w:p>
      <w:pPr>
        <w:pBdr/>
        <w:spacing w:after="120"/>
        <w:ind/>
        <w:rPr/>
      </w:pPr>
      <w:r>
        <w:rPr>
          <w:b w:val="0"/>
          <w:i w:val="0"/>
        </w:rPr>
        <w:t xml:space="preserve">The relationship between IIH and epilepsy has received attention largely through the study of temporal encephaloceles. These herniations of temporal pole or basal temporal cortex through defects in the </w:t>
      </w:r>
      <w:r>
        <w:rPr>
          <w:b w:val="0"/>
          <w:i w:val="0"/>
        </w:rPr>
        <w:t xml:space="preserve">middle cranial fossa are increasingly recognized as a cause of focal epilepsy. Several series have reported imaging features of chronically raised intracranial pressure in patients with temporal encephaloceles, and surgical treatment can result in seizure </w:t>
      </w:r>
      <w:r>
        <w:rPr>
          <w:b w:val="0"/>
          <w:i w:val="0"/>
        </w:rPr>
        <w:t xml:space="preserve">freedom in selected patients.4–8 Obstructive sleep apnea (OSA), which is common among patients with IIH, is also prevalent in people with epilepsy.9 Whether IIH itself is associated with an increased risk of subsequent seizures, however, remains uncertain.</w:t>
      </w:r>
      <w:r/>
    </w:p>
    <w:p>
      <w:pPr>
        <w:pBdr/>
        <w:spacing w:after="120"/>
        <w:ind/>
        <w:rPr/>
      </w:pPr>
      <w:r>
        <w:rPr>
          <w:b w:val="0"/>
          <w:i w:val="0"/>
        </w:rPr>
        <w:t xml:space="preserve">Published evidence linking IIH with seizures consists mainly of case reports and small, selected series, often involving skull-base encephaloceles.10,11 Such studies are useful for generating mechanistic hypotheses but cannot es</w:t>
      </w:r>
      <w:r>
        <w:rPr>
          <w:b w:val="0"/>
          <w:i w:val="0"/>
        </w:rPr>
        <w:t xml:space="preserve">timate the incidence of seizures among an unselected population with IIH. Conversely, studies of temporal encephaloceles generally begin with patients who already have epilepsy and therefore cannot establish whether IIH precedes and increases seizure risk.</w:t>
      </w:r>
      <w:r/>
    </w:p>
    <w:p>
      <w:pPr>
        <w:pBdr/>
        <w:spacing w:after="120"/>
        <w:ind/>
        <w:rPr/>
      </w:pPr>
      <w:r>
        <w:rPr>
          <w:b w:val="0"/>
          <w:i w:val="0"/>
        </w:rPr>
        <w:t xml:space="preserve">Electronic health records offer an opportunity to address this question at scale but introduce a major epidemiologic challenge: patients with IIH may have substantially more healthcare contact than comparable patients without IIH. Outcomes th</w:t>
      </w:r>
      <w:r>
        <w:rPr>
          <w:b w:val="0"/>
          <w:i w:val="0"/>
        </w:rPr>
        <w:t xml:space="preserve">at depend on clinical encounters may therefore be detected more frequently even if their underlying incidence is identical. Negative-control outcomes can help characterize this type of ascertainment bias rather than simply assuming that it is negligible.12</w:t>
      </w:r>
      <w:r/>
    </w:p>
    <w:p>
      <w:pPr>
        <w:pBdr/>
        <w:spacing w:after="120"/>
        <w:ind/>
        <w:rPr/>
      </w:pPr>
      <w:r>
        <w:rPr>
          <w:b w:val="0"/>
          <w:i w:val="0"/>
        </w:rPr>
        <w:t xml:space="preserve">We therefore conducted a matched cohort study wi</w:t>
      </w:r>
      <w:r>
        <w:rPr>
          <w:b w:val="0"/>
          <w:i w:val="0"/>
        </w:rPr>
        <w:t xml:space="preserve">th two objectives: first, to estimate the rate of incident seizures and epilepsy after IIH compared with a matched population without IIH; and second, to examine whether differential healthcare surveillance could plausibly explain the observed association.</w:t>
      </w:r>
      <w:r/>
    </w:p>
    <w:p>
      <w:pPr>
        <w:pStyle w:val="693"/>
        <w:pBdr/>
        <w:spacing w:after="100" w:before="200"/>
        <w:ind/>
        <w:rPr/>
      </w:pPr>
      <w:r>
        <w:t xml:space="preserve">2 | METHODS</w:t>
      </w:r>
      <w:r/>
    </w:p>
    <w:p>
      <w:pPr>
        <w:pStyle w:val="694"/>
        <w:pBdr/>
        <w:spacing w:after="100" w:before="200"/>
        <w:ind/>
        <w:rPr/>
      </w:pPr>
      <w:r>
        <w:t xml:space="preserve">2.1 | Study design, data source, and ethics</w:t>
      </w:r>
      <w:r/>
    </w:p>
    <w:p>
      <w:pPr>
        <w:pBdr/>
        <w:spacing w:after="120"/>
        <w:ind/>
        <w:rPr/>
      </w:pPr>
      <w:r>
        <w:rPr>
          <w:b w:val="0"/>
          <w:i w:val="0"/>
        </w:rPr>
        <w:t xml:space="preserve">This retrospecti</w:t>
      </w:r>
      <w:r>
        <w:rPr>
          <w:b w:val="0"/>
          <w:i w:val="0"/>
        </w:rPr>
        <w:t xml:space="preserve">ve matched cohort study used the integrated electronic health record of Mayo Clinic (EHR),  covering Mayo Clinic sites in Minnesota, Florida, and Arizona. The record contains inpatient, outpatient, emergency, and procedur</w:t>
      </w:r>
      <w:r>
        <w:rPr>
          <w:b w:val="0"/>
          <w:i w:val="0"/>
        </w:rPr>
        <w:t xml:space="preserve">al encounters, together with linked diagnosis codes, problem lists, medication records, flowsheet vital signs, and vital status. Index dates ranged from June 7, 2002, through November 11, 2025, and the data were frozen on September 3, 2026.</w:t>
      </w:r>
      <w:r/>
    </w:p>
    <w:p>
      <w:pPr>
        <w:pBdr/>
        <w:spacing w:after="120"/>
        <w:ind/>
        <w:rPr/>
      </w:pPr>
      <w:r>
        <w:rPr>
          <w:b w:val="0"/>
          <w:i w:val="0"/>
        </w:rPr>
        <w:t xml:space="preserve">The study was approved by t</w:t>
      </w:r>
      <w:r>
        <w:rPr>
          <w:b w:val="0"/>
          <w:i w:val="0"/>
        </w:rPr>
        <w:t xml:space="preserve">he Mayo Clinic Institutional Review Board, which waived the requirement for informed consent.</w:t>
      </w:r>
      <w:r/>
    </w:p>
    <w:p>
      <w:pPr>
        <w:pStyle w:val="694"/>
        <w:pBdr/>
        <w:spacing w:after="100" w:before="200"/>
        <w:ind/>
        <w:rPr/>
      </w:pPr>
      <w:r>
        <w:t xml:space="preserve">2.2 | Study population</w:t>
      </w:r>
      <w:r/>
    </w:p>
    <w:p>
      <w:pPr>
        <w:pBdr/>
        <w:spacing w:after="120"/>
        <w:ind/>
        <w:rPr/>
      </w:pPr>
      <w:r>
        <w:rPr>
          <w:b w:val="0"/>
          <w:i w:val="0"/>
        </w:rPr>
        <w:t xml:space="preserve">Patients with IIH. Adolescents and adults were identified using an IIH diagnosis code (ICD-9-CM 348.2 or ICD-10-CM G93.2, in any position) together with a lumbar puncture record (CPT 62270 or 62328, or an electronic lumbar punctur</w:t>
      </w:r>
      <w:r>
        <w:rPr>
          <w:b w:val="0"/>
          <w:i w:val="0"/>
        </w:rPr>
        <w:t xml:space="preserve">e procedure entry). The index date was the date of the diagnostic lumbar puncture. IIH diagnoses were not adjudicated against the revised diagnostic criteria; opening pressure was abstracted when available.15 The complete code list is provided in eTable 1.</w:t>
      </w:r>
      <w:r>
        <w:rPr>
          <w:b w:val="0"/>
          <w:i w:val="0"/>
        </w:rPr>
        <w:t xml:space="preserve">Comparators were patients with no IIH diagnosis code at any time in the available record.</w:t>
      </w:r>
      <w:r/>
      <w:r/>
    </w:p>
    <w:p>
      <w:pPr>
        <w:pBdr/>
        <w:spacing w:after="120"/>
        <w:ind/>
        <w:rPr/>
      </w:pPr>
      <w:r>
        <w:rPr>
          <w:b w:val="0"/>
          <w:i w:val="0"/>
        </w:rPr>
        <w:t xml:space="preserve">Eligibility criteria applied to both groups. Patients with a history of ischemic stroke, intrace</w:t>
      </w:r>
      <w:r>
        <w:rPr>
          <w:b w:val="0"/>
          <w:i w:val="0"/>
        </w:rPr>
        <w:t xml:space="preserve">rebral or subarachnoid hemorrhage, craniotomy, brain tumor, or traumatic brain injury were excluded because these conditions are independent risk factors for seizures. Both groups required at least one dated clinical encounter during the 12 months before t</w:t>
      </w:r>
      <w:r>
        <w:rPr>
          <w:b w:val="0"/>
          <w:i w:val="0"/>
        </w:rPr>
        <w:t xml:space="preserve">he index date. Clinical encounters were distinguished from administrative activity (messages, orders, refills, and record maintenance) using an encounter-type list applied identically to both groups; approximately 60% of encounter rows were administrative.</w:t>
      </w:r>
      <w:r/>
    </w:p>
    <w:p>
      <w:pPr>
        <w:pBdr/>
        <w:spacing w:after="120"/>
        <w:ind/>
        <w:rPr/>
      </w:pPr>
      <w:r>
        <w:rPr>
          <w:b w:val="0"/>
          <w:i w:val="0"/>
        </w:rPr>
        <w:t xml:space="preserve">Patients with a qualifying seizure diagnosis or chronic antiseizure med</w:t>
      </w:r>
      <w:r>
        <w:rPr>
          <w:b w:val="0"/>
          <w:i w:val="0"/>
        </w:rPr>
        <w:t xml:space="preserve">ication (ASM) use on or before the end of the 180-day washout were excluded. Patients without follow-up beyond the washout were also excluded. All analyses were repeated using an alternative definition in which every encounter row was treated as a contact.</w:t>
      </w:r>
      <w:r/>
    </w:p>
    <w:p>
      <w:pPr>
        <w:pStyle w:val="694"/>
        <w:pBdr/>
        <w:spacing w:after="100" w:before="200"/>
        <w:ind/>
        <w:rPr/>
      </w:pPr>
      <w:r>
        <w:t xml:space="preserve">2.3 | Index date and matching</w:t>
      </w:r>
      <w:r/>
    </w:p>
    <w:p>
      <w:pPr>
        <w:pBdr/>
        <w:spacing w:after="120"/>
        <w:ind/>
        <w:rPr/>
      </w:pPr>
      <w:r>
        <w:rPr>
          <w:b w:val="0"/>
          <w:i w:val="0"/>
        </w:rPr>
        <w:t xml:space="preserve">Each comparator inherited the index date of its matched case. Eligibility, washout, exclusion of prevalent seizures, covariate measu</w:t>
      </w:r>
      <w:r>
        <w:rPr>
          <w:b w:val="0"/>
          <w:i w:val="0"/>
        </w:rPr>
        <w:t xml:space="preserve">rement, and the beginning of follow-up were therefore anchored to the same calendar date within each matched set. Matching was performed without replacement on sex, age, BMI, and BMI calendar year (within 2 years), at a variable ratio of up to 1:4.</w:t>
      </w:r>
      <w:r/>
    </w:p>
    <w:p>
      <w:pPr>
        <w:pBdr/>
        <w:spacing w:after="120"/>
        <w:ind/>
        <w:rPr/>
      </w:pPr>
      <w:r>
        <w:rPr>
          <w:b w:val="0"/>
          <w:i w:val="0"/>
        </w:rPr>
        <w:t xml:space="preserve">Matching used four sequential passes through a randomly order</w:t>
      </w:r>
      <w:r>
        <w:rPr>
          <w:b w:val="0"/>
          <w:i w:val="0"/>
        </w:rPr>
        <w:t xml:space="preserve">ed case list, with prespecified tiers of decreasing stringency: (1) age within 3 years, BMI within 3 kg/m², and BMI calendar year; (2) the same criteria without BMI calendar year; (3) BMI within 5 kg/m²; and (4) age within 5 years. BMI was taken from the f</w:t>
      </w:r>
      <w:r>
        <w:rPr>
          <w:b w:val="0"/>
          <w:i w:val="0"/>
        </w:rPr>
        <w:t xml:space="preserve">lowsheet measurement closest in calendar time to the index date.</w:t>
      </w:r>
      <w:r/>
    </w:p>
    <w:p>
      <w:pPr>
        <w:pStyle w:val="694"/>
        <w:pBdr/>
        <w:spacing w:after="100" w:before="200"/>
        <w:ind/>
        <w:rPr/>
      </w:pPr>
      <w:r>
        <w:t xml:space="preserve">2.4 | Outcomes</w:t>
      </w:r>
      <w:r/>
    </w:p>
    <w:p>
      <w:pPr>
        <w:pBdr/>
        <w:spacing w:after="120"/>
        <w:ind/>
        <w:rPr/>
      </w:pPr>
      <w:r>
        <w:rPr>
          <w:b w:val="0"/>
          <w:i w:val="0"/>
        </w:rPr>
        <w:t xml:space="preserve">The primary outcome was incident seizure or epilepsy after the 180-day washout, defined by a single rule applied to both groups. The first c</w:t>
      </w:r>
      <w:r>
        <w:rPr>
          <w:b w:val="0"/>
          <w:i w:val="0"/>
        </w:rPr>
        <w:t xml:space="preserve">riterion was a qualifying diagnosis code in the diagnosis record or problem list: ICD-10-CM G40.x or R56.x, or ICD-9-CM 345.x or 780.39. The second criterion was an ASM prescription or medication record indicating treatment continued for at least 180 days.</w:t>
      </w:r>
      <w:r/>
    </w:p>
    <w:p>
      <w:pPr>
        <w:pBdr/>
        <w:spacing w:after="120"/>
        <w:ind/>
        <w:rPr/>
      </w:pPr>
      <w:r>
        <w:rPr>
          <w:b w:val="0"/>
          <w:i w:val="0"/>
        </w:rPr>
        <w:t xml:space="preserve">Febrile, post-traumatic, psychogenic nonepi</w:t>
      </w:r>
      <w:r>
        <w:rPr>
          <w:b w:val="0"/>
          <w:i w:val="0"/>
        </w:rPr>
        <w:t xml:space="preserve">leptic or conversion seizures, family history of seizures, migraine diagnoses, and ASM adverse-effect codes were not considered qualifying outcomes. Topiramate and acetazolamide were not counted as ASMs because they are commonly used to treat IIH and have </w:t>
      </w:r>
      <w:r>
        <w:rPr>
          <w:b w:val="0"/>
          <w:i w:val="0"/>
        </w:rPr>
        <w:t xml:space="preserve">antiseizure activity. Gabapentin, pregabalin, and benzodiazepines were also excluded because they have common analgesic and procedural indications. The event date was the earlier of the first qualifying diagnosis and the first qualifying medication record.</w:t>
      </w:r>
      <w:r/>
    </w:p>
    <w:p>
      <w:pPr>
        <w:pBdr/>
        <w:spacing w:after="120"/>
        <w:ind/>
        <w:rPr/>
      </w:pPr>
      <w:r>
        <w:rPr>
          <w:b w:val="0"/>
          <w:i w:val="0"/>
        </w:rPr>
        <w:t xml:space="preserve">Because the EHR did not reliably permit classification by seizure type or by provoked versus unprovoked status, the primary outcome </w:t>
      </w:r>
      <w:r>
        <w:rPr>
          <w:b w:val="0"/>
          <w:i w:val="0"/>
        </w:rPr>
        <w:t xml:space="preserve">represents a clinically recognized seizure or epilepsy event rather than epilepsy as defined by the International League Against Epilepsy (ILAE).16 Epilepsy-specific codes (G40.x/345.x) were analyzed separately as a more specific approximation of epilepsy.</w:t>
      </w:r>
      <w:r/>
    </w:p>
    <w:p>
      <w:pPr>
        <w:pBdr/>
        <w:spacing w:after="120"/>
        <w:ind/>
        <w:rPr/>
      </w:pPr>
      <w:r>
        <w:rPr>
          <w:b w:val="0"/>
          <w:i w:val="0"/>
        </w:rPr>
        <w:t xml:space="preserve">Among patients who experienced a primary outcome, a secondary outcome classified events as recurrent seizure or epilepsy if there was an epilepsy-specific diagnosis code, two or more documented seizure events, or indefinite ASM therapy.</w:t>
      </w:r>
      <w:r/>
    </w:p>
    <w:p>
      <w:pPr>
        <w:pBdr/>
        <w:spacing w:after="120"/>
        <w:ind/>
        <w:rPr/>
      </w:pPr>
      <w:r>
        <w:rPr>
          <w:b w:val="0"/>
          <w:i w:val="0"/>
        </w:rPr>
        <w:t xml:space="preserve">Outcome ascertainment was evaluated by manual chart review of a random sample of 50 pa</w:t>
      </w:r>
      <w:r>
        <w:rPr>
          <w:b w:val="0"/>
          <w:i w:val="0"/>
        </w:rPr>
        <w:t xml:space="preserve">tients with IIH and 50 comparators who met the electronic outcome definition. Positive predictive value (PPV) was calculated as the proportion of electronically identified events confirmed as clinical seizures, with exact binomial 95% confidence intervals.</w:t>
      </w:r>
      <w:r/>
    </w:p>
    <w:p>
      <w:pPr>
        <w:pStyle w:val="694"/>
        <w:pBdr/>
        <w:spacing w:after="100" w:before="200"/>
        <w:ind/>
        <w:rPr/>
      </w:pPr>
      <w:r>
        <w:t xml:space="preserve">2.5 | Follow-up and covariates</w:t>
      </w:r>
      <w:r/>
    </w:p>
    <w:p>
      <w:pPr>
        <w:pBdr/>
        <w:spacing w:after="120"/>
        <w:ind/>
        <w:rPr/>
      </w:pPr>
      <w:r>
        <w:rPr>
          <w:b w:val="0"/>
          <w:i w:val="0"/>
        </w:rPr>
        <w:t xml:space="preserve">Follow-up began at the end o</w:t>
      </w:r>
      <w:r>
        <w:rPr>
          <w:b w:val="0"/>
          <w:i w:val="0"/>
        </w:rPr>
        <w:t xml:space="preserve">f the 180-day washout and ended at the earliest of the primary outcome, death, the last attended clinical encounter, the data-freeze date, or 3 years. OSA, hypertension, polycystic ovary syndrome (PCOS), and bariatric surgery were identified from diagnosis</w:t>
      </w:r>
      <w:r>
        <w:rPr>
          <w:b w:val="0"/>
          <w:i w:val="0"/>
        </w:rPr>
        <w:t xml:space="preserve"> or procedure codes recorded on or before the index date. Pre-index healthcare contact was measured as the number of clinical encounters during the preceding 12 months. </w:t>
      </w:r>
      <w:r/>
    </w:p>
    <w:p>
      <w:pPr>
        <w:pBdr/>
        <w:spacing w:after="120"/>
        <w:ind/>
        <w:rPr/>
      </w:pPr>
      <w:r>
        <w:rPr>
          <w:b w:val="0"/>
          <w:i w:val="0"/>
        </w:rPr>
        <w:t xml:space="preserve">The use of last attended clinical encounter as a censoring date was intended to a</w:t>
      </w:r>
      <w:r>
        <w:rPr>
          <w:b w:val="0"/>
          <w:i w:val="0"/>
        </w:rPr>
        <w:t xml:space="preserve">void attributing person-time to individuals no longer observable in the health system. Because healthcare contact is itself related to the detection process, however, informative censoring is a potential source of bias and was considered in interpretation.</w:t>
      </w:r>
      <w:r/>
    </w:p>
    <w:p>
      <w:pPr>
        <w:pStyle w:val="694"/>
        <w:pBdr/>
        <w:spacing w:after="100" w:before="200"/>
        <w:ind/>
        <w:rPr/>
      </w:pPr>
      <w:r>
        <w:t xml:space="preserve">2.6 | Statistical analysis</w:t>
      </w:r>
      <w:r/>
    </w:p>
    <w:p>
      <w:pPr>
        <w:pBdr/>
        <w:spacing w:after="120"/>
        <w:ind/>
        <w:rPr/>
      </w:pPr>
      <w:r>
        <w:rPr>
          <w:b w:val="0"/>
          <w:i w:val="0"/>
        </w:rPr>
        <w:t xml:space="preserve">Incidence rates are reported per 1,000 person-years with exact Poisson 95% confidence intervals. Cause-specific hazard</w:t>
      </w:r>
      <w:r>
        <w:rPr>
          <w:b w:val="0"/>
          <w:i w:val="0"/>
        </w:rPr>
        <w:t xml:space="preserve"> ratios (HRs) were estimated using Cox regression with exposure as the sole model term because age, sex, and BMI were addressed through matching. Variance was estimated using a robust sandwich estimator clustered by matched set.17 Proportional hazards were</w:t>
      </w:r>
      <w:r>
        <w:rPr>
          <w:b w:val="0"/>
          <w:i w:val="0"/>
        </w:rPr>
        <w:t xml:space="preserve"> assessed using scaled Schoenfeld residuals. Cumulative incidence was estimated using the Aalen–Johansen estimator with death as a competing event, and a Fine–Gray model was used to estimate the corresponding subdistribution HR.18 All tests were two-sided.</w:t>
      </w:r>
      <w:r/>
    </w:p>
    <w:p>
      <w:pPr>
        <w:pBdr/>
        <w:spacing w:after="120"/>
        <w:ind/>
        <w:rPr/>
      </w:pPr>
      <w:r>
        <w:rPr>
          <w:b w:val="0"/>
          <w:i w:val="0"/>
        </w:rPr>
        <w:t xml:space="preserve">Prespecified sensitivity analyses included: (1) diagnosis codes without the medication criterion; (2) epilepsy-specific codes only; (3) restriction to IIH cases with opening pressure of at least 25 cm H₂O and</w:t>
      </w:r>
      <w:r>
        <w:rPr>
          <w:b w:val="0"/>
          <w:i w:val="0"/>
        </w:rPr>
        <w:t xml:space="preserve"> their matched comparators; (4) counting all encounter rows as healthcare contact; (5) landmark analyses excluding events occurring during the first 30, 90, or 180 days after the washout; (6) overlap weighting; and (7) restriction to complete matched sets.</w:t>
      </w:r>
      <w:r/>
    </w:p>
    <w:p>
      <w:pPr>
        <w:pBdr/>
        <w:spacing w:after="120"/>
        <w:ind/>
        <w:rPr/>
      </w:pPr>
      <w:r>
        <w:rPr>
          <w:b w:val="0"/>
          <w:i w:val="0"/>
        </w:rPr>
        <w:t xml:space="preserve">The overlap-weighting propensity model included age, sex, BMI, and the logarithm of pre-index visits. Effect modification by age, BMI, and sex was assessed using Wald tests for interaction. OSA, PCOS, and hypertension remained i</w:t>
      </w:r>
      <w:r>
        <w:rPr>
          <w:b w:val="0"/>
          <w:i w:val="0"/>
        </w:rPr>
        <w:t xml:space="preserve">mbalanced after matching; therefore, a comorbidity-adjusted analysis was performed after the primary analysis. This analysis was prespecified for interpretation after observing the post-matching imbalance and was reported regardless of direction of effect.</w:t>
      </w:r>
      <w:r/>
    </w:p>
    <w:p>
      <w:pPr>
        <w:pBdr/>
        <w:spacing w:after="120"/>
        <w:ind/>
        <w:rPr/>
      </w:pPr>
      <w:r>
        <w:rPr>
          <w:b w:val="0"/>
          <w:i w:val="0"/>
        </w:rPr>
        <w:t xml:space="preserve">A covariate was considered a potential confounder when it was both imbalanced after matching (absolute SMD &gt;0.10) and associated with the outcome. Analyses were performed in R.</w:t>
      </w:r>
      <w:r/>
    </w:p>
    <w:p>
      <w:pPr>
        <w:pStyle w:val="694"/>
        <w:pBdr/>
        <w:spacing w:after="100" w:before="200"/>
        <w:ind/>
        <w:rPr/>
      </w:pPr>
      <w:r>
        <w:t xml:space="preserve">2.7 | Assessment of differential detection</w:t>
      </w:r>
      <w:r/>
    </w:p>
    <w:p>
      <w:pPr>
        <w:pBdr/>
        <w:spacing w:after="120"/>
        <w:ind/>
        <w:rPr/>
      </w:pPr>
      <w:r>
        <w:rPr>
          <w:b w:val="0"/>
          <w:i w:val="0"/>
        </w:rPr>
        <w:t xml:space="preserve">We used five complementary approaches to evaluate differential ascertainment.</w:t>
      </w:r>
      <w:r/>
    </w:p>
    <w:p>
      <w:pPr>
        <w:pBdr/>
        <w:spacing w:after="120"/>
        <w:ind/>
        <w:rPr/>
      </w:pPr>
      <w:r>
        <w:rPr>
          <w:b w:val="0"/>
          <w:i w:val="0"/>
        </w:rPr>
        <w:t xml:space="preserve">First, we examined 11 negative-control outcomes without a plausible d</w:t>
      </w:r>
      <w:r>
        <w:rPr>
          <w:b w:val="0"/>
          <w:i w:val="0"/>
        </w:rPr>
        <w:t xml:space="preserve">irect causal relationship to IIH or seizures, selected to be ascertainable through similar healthcare pathways (eTable 3). We did not treat a negative control as evidence of specificity unless its baseline prevalence was reasonably balanced between groups.</w:t>
      </w:r>
      <w:r/>
    </w:p>
    <w:p>
      <w:pPr>
        <w:pBdr/>
        <w:spacing w:after="120"/>
        <w:ind/>
        <w:rPr/>
      </w:pPr>
      <w:r>
        <w:rPr>
          <w:b w:val="0"/>
          <w:i w:val="0"/>
        </w:rPr>
        <w:t xml:space="preserve">Second, we performed an empirical calibration analysis in which </w:t>
      </w:r>
      <w:r>
        <w:rPr>
          <w:b w:val="0"/>
          <w:i w:val="0"/>
        </w:rPr>
        <w:t xml:space="preserve">the log HR for each negative-control outcome was regressed on its log baseline prevalence ratio. The fitted value at a baseline prevalence ratio of 1 was used to estimate the association expected from the observed pattern of differential detection alone.20</w:t>
      </w:r>
      <w:r/>
    </w:p>
    <w:p>
      <w:pPr>
        <w:pBdr/>
        <w:spacing w:after="120"/>
        <w:ind/>
        <w:rPr/>
      </w:pPr>
      <w:r>
        <w:rPr>
          <w:b w:val="0"/>
          <w:i w:val="0"/>
        </w:rPr>
        <w:t xml:space="preserve">Third, we adjusted each outcome for six prespecified measures of pre-index healthc</w:t>
      </w:r>
      <w:r>
        <w:rPr>
          <w:b w:val="0"/>
          <w:i w:val="0"/>
        </w:rPr>
        <w:t xml:space="preserve">are contact and examined the direction and magnitude of change. If differential healthcare use were an important source of ascertainment bias, adjustment for these measures would be expected, although not guaranteed, to attenuate the observed associations.</w:t>
      </w:r>
      <w:r/>
    </w:p>
    <w:p>
      <w:pPr>
        <w:pBdr/>
        <w:spacing w:after="120"/>
        <w:ind/>
        <w:rPr/>
      </w:pPr>
      <w:r>
        <w:rPr>
          <w:b w:val="0"/>
          <w:i w:val="0"/>
        </w:rPr>
        <w:t xml:space="preserve">Fourth, we described post-index surveillance rates. We did not adjust the primary outcome for post-index contact because post-exposure healthcare contact may lie on the pathway from IIH to outcome ascertainment and can act as a collider.</w:t>
      </w:r>
      <w:r/>
    </w:p>
    <w:p>
      <w:pPr>
        <w:pBdr/>
        <w:spacing w:after="120"/>
        <w:ind/>
        <w:rPr/>
      </w:pPr>
      <w:r>
        <w:rPr>
          <w:b w:val="0"/>
          <w:i w:val="0"/>
        </w:rPr>
        <w:t xml:space="preserve">Fifth, we calculated E-values to describe the strength of association that an unmeasured confounder would need with both IIH and the outcome, conditional on the </w:t>
      </w:r>
      <w:r>
        <w:rPr>
          <w:b w:val="0"/>
          <w:i w:val="0"/>
        </w:rPr>
        <w:t xml:space="preserve">measured covariates, to explain the observed HR.21 Because healthcare-contact measures do not directly quantify their association with seizure ascertainment, E-values were interpreted as sensitivity parameters rather than as direct tests of detection bias.</w:t>
      </w:r>
      <w:r/>
    </w:p>
    <w:p>
      <w:pPr>
        <w:pStyle w:val="693"/>
        <w:pBdr/>
        <w:spacing w:after="100" w:before="200"/>
        <w:ind/>
        <w:rPr/>
      </w:pPr>
      <w:r>
        <w:t xml:space="preserve">3 | RESULTS</w:t>
      </w:r>
      <w:r/>
    </w:p>
    <w:p>
      <w:pPr>
        <w:pStyle w:val="694"/>
        <w:pBdr/>
        <w:spacing w:after="100" w:before="200"/>
        <w:ind/>
        <w:rPr/>
      </w:pPr>
      <w:r>
        <w:t xml:space="preserve">3.1 | Cohort and baseline characteristics</w:t>
      </w:r>
      <w:r/>
    </w:p>
    <w:p>
      <w:pPr>
        <w:pBdr/>
        <w:spacing w:after="120"/>
        <w:ind/>
        <w:rPr/>
      </w:pPr>
      <w:r>
        <w:rPr>
          <w:b w:val="0"/>
          <w:i w:val="0"/>
        </w:rPr>
        <w:t xml:space="preserve">Among 2,520 eligible patie</w:t>
      </w:r>
      <w:r>
        <w:rPr>
          <w:b w:val="0"/>
          <w:i w:val="0"/>
        </w:rPr>
        <w:t xml:space="preserve">nts with IIH, 2,490 (98.8%) were matched to 5,743 comparators, yielding a mean of 2.31 comparators per case. Eighty-seven percent of cases were matched at the most stringent tier. After the washout and follow-up eligibility criteria were applied, 2,138 pat</w:t>
      </w:r>
      <w:r>
        <w:rPr>
          <w:b w:val="0"/>
          <w:i w:val="0"/>
        </w:rPr>
        <w:t xml:space="preserve">ients with IIH contributed to the primary analysis. The IIH and comparator groups contributed 4,563.0 and 9,375.2 person-years, respectively. Median follow-up was 2.77 years (IQR 1.23–3.00) in the IIH group and 1.51 years (IQR 0.52–3.00) among comparators.</w:t>
      </w:r>
      <w:r/>
    </w:p>
    <w:p>
      <w:pPr>
        <w:pBdr/>
        <w:spacing w:after="120"/>
        <w:ind/>
        <w:rPr/>
      </w:pPr>
      <w:r>
        <w:rPr>
          <w:b w:val="0"/>
          <w:i w:val="0"/>
        </w:rPr>
        <w:t xml:space="preserve">Age, sex, and BMI were well balanc</w:t>
      </w:r>
      <w:r>
        <w:rPr>
          <w:b w:val="0"/>
          <w:i w:val="0"/>
        </w:rPr>
        <w:t xml:space="preserve">ed (SMDs −0.065, 0.034, and 0.050, respectively; Table 1). OSA remained more common among patients with IIH (29.5% vs 15.4%; SMD 0.342), as did PCOS (12.3% vs 7.3%; SMD 0.171) and hypertension (22.1% vs 16.4%; SMD 0.146). Pre-index healthcare contact showe</w:t>
      </w:r>
      <w:r>
        <w:rPr>
          <w:b w:val="0"/>
          <w:i w:val="0"/>
        </w:rPr>
        <w:t xml:space="preserve">d the largest imbalance: the median number of clinical visits during the preceding year was 12 in the IIH group versus 4 among comparators (SMD 0.526). Opening pressure was available for 1,585 patients with IIH (74%) and had a mean of 29.5 cm H₂O (SD 9.7).</w:t>
      </w:r>
      <w:r/>
    </w:p>
    <w:p>
      <w:pPr>
        <w:pStyle w:val="694"/>
        <w:pBdr/>
        <w:spacing w:after="100" w:before="200"/>
        <w:ind/>
        <w:rPr/>
      </w:pPr>
      <w:r>
        <w:t xml:space="preserve">3.2 | Primary outcome</w:t>
      </w:r>
      <w:r/>
    </w:p>
    <w:p>
      <w:pPr>
        <w:pBdr/>
        <w:spacing w:after="120"/>
        <w:ind/>
        <w:rPr/>
      </w:pPr>
      <w:r>
        <w:rPr>
          <w:b w:val="0"/>
          <w:i w:val="0"/>
        </w:rPr>
        <w:t xml:space="preserve">During follow-up, 66 patients with IIH and 63 comparators experienced a qualifying seizure or epilepsy event. Incidence rates were 14.46 and 6.72 per 1,000 person-years, respectively (95% CIs 11.19–18.40 and 5.16–8.60). The corresponding H</w:t>
      </w:r>
      <w:r>
        <w:rPr>
          <w:b w:val="0"/>
          <w:i w:val="0"/>
        </w:rPr>
        <w:t xml:space="preserve">R was 2.28 (95% CI 1.62–3.22; p&lt;0.001), with no evidence of violation of the proportional hazards assumption (p=0.94). Three-year cumulative incidence was 3.83% in the IIH group and 1.71% among comparators, an absolute difference of 2.12 percentage points.</w:t>
      </w:r>
      <w:r/>
    </w:p>
    <w:p>
      <w:pPr>
        <w:pBdr/>
        <w:spacing w:after="120"/>
        <w:ind/>
        <w:rPr/>
      </w:pPr>
      <w:r>
        <w:rPr>
          <w:b w:val="0"/>
          <w:i w:val="0"/>
        </w:rPr>
        <w:t xml:space="preserve">In chart review, 48 of 50 electronically identified events among patients with IIH were confirmed (PPV 96%; 95% CI 86%–100%), compared with 50 of 50 among comparators (PPV 100%; 95% CI 93%–100%).</w:t>
      </w:r>
      <w:r/>
    </w:p>
    <w:p>
      <w:pPr>
        <w:pStyle w:val="694"/>
        <w:pBdr/>
        <w:spacing w:after="100" w:before="200"/>
        <w:ind/>
        <w:rPr/>
      </w:pPr>
      <w:r>
        <w:t xml:space="preserve">3.3 | Sensitivity analyses</w:t>
      </w:r>
      <w:r/>
    </w:p>
    <w:p>
      <w:pPr>
        <w:pBdr/>
        <w:spacing w:after="120"/>
        <w:ind/>
        <w:rPr/>
      </w:pPr>
      <w:r>
        <w:rPr>
          <w:b w:val="0"/>
          <w:i w:val="0"/>
        </w:rPr>
        <w:t xml:space="preserve">The association was similar across alternative outcome and cohort definitions (Table 2; eFigure 1). Removing the medication criterion produced an HR of 1.93</w:t>
      </w:r>
      <w:r>
        <w:rPr>
          <w:b w:val="0"/>
          <w:i w:val="0"/>
        </w:rPr>
        <w:t xml:space="preserve"> (95% CI 1.34–2.77), while restriction to epilepsy-specific codes produced an HR of 2.30 (95% CI 1.35–3.92). Restriction to patients with opening pressure of at least 25 cm H₂O yielded an HR of 2.25 (95% CI 1.41–3.59). Landmark analyses excluding the first</w:t>
      </w:r>
      <w:r>
        <w:rPr>
          <w:b w:val="0"/>
          <w:i w:val="0"/>
        </w:rPr>
        <w:t xml:space="preserve"> 30, 90, and 180 days after the washout yielded HRs of 2.49, 2.29, and 2.22, respectively. The overlap-weighted analysis produced an HR of 2.31 (95% CI 1.56–3.43). Counting all encounter rows as healthcare contact produced an HR of 2.79 (95% CI 1.98–3.93).</w:t>
      </w:r>
      <w:r/>
    </w:p>
    <w:p>
      <w:pPr>
        <w:pBdr/>
        <w:spacing w:after="120"/>
        <w:ind/>
        <w:rPr/>
      </w:pPr>
      <w:r>
        <w:rPr>
          <w:b w:val="0"/>
          <w:i w:val="0"/>
        </w:rPr>
        <w:t xml:space="preserve">Selection of follow-up was asymmetric in one respect: comparator</w:t>
      </w:r>
      <w:r>
        <w:rPr>
          <w:b w:val="0"/>
          <w:i w:val="0"/>
        </w:rPr>
        <w:t xml:space="preserve">s, but not cases, were screened for post-washout follow-up at selection. Consequently, 352 matched sets lost their case but retained 789 comparators, who contributed two events. Restriction to complete matched sets yielded an HR of 2.06 (95% CI 1.46–2.92).</w:t>
      </w:r>
      <w:r/>
    </w:p>
    <w:p>
      <w:pPr>
        <w:pBdr/>
        <w:spacing w:after="120"/>
        <w:ind/>
        <w:rPr/>
      </w:pPr>
      <w:r>
        <w:rPr>
          <w:b w:val="0"/>
          <w:i w:val="0"/>
        </w:rPr>
        <w:t xml:space="preserve">Among the three imbalanced comorbidities, OSA showed the clearest association with t</w:t>
      </w:r>
      <w:r>
        <w:rPr>
          <w:b w:val="0"/>
          <w:i w:val="0"/>
        </w:rPr>
        <w:t xml:space="preserve">he outcome (HR 1.87, 95% CI 1.29–2.71); estimates for hypertension and PCOS were 1.41 (95% CI 0.95–2.08) and 1.14 (95% CI 0.64–2.02), respectively. Adjustment for all three comorbidities reduced the HR to 2.11 (95% CI 1.48–3.01), with the change attributab</w:t>
      </w:r>
      <w:r>
        <w:rPr>
          <w:b w:val="0"/>
          <w:i w:val="0"/>
        </w:rPr>
        <w:t xml:space="preserve">le primarily to OSA. Additional adjustment for pre-index visits yielded an HR of 2.33 (95% CI 1.58–3.45). The cause-specific HR for death was 0.61 (95% CI 0.29–1.29), and the Fine–Gray subdistribution HR for the primary outcome was 2.28 (95% CI 1.62–3.22).</w:t>
      </w:r>
      <w:r/>
    </w:p>
    <w:p>
      <w:pPr>
        <w:pStyle w:val="694"/>
        <w:pBdr/>
        <w:spacing w:after="100" w:before="200"/>
        <w:ind/>
        <w:rPr/>
      </w:pPr>
      <w:r>
        <w:t xml:space="preserve">3.4 | Secondary outcome and subgroups</w:t>
      </w:r>
      <w:r/>
    </w:p>
    <w:p>
      <w:pPr>
        <w:pBdr/>
        <w:spacing w:after="120"/>
        <w:ind/>
        <w:rPr/>
      </w:pPr>
      <w:r>
        <w:rPr>
          <w:b w:val="0"/>
          <w:i w:val="0"/>
        </w:rPr>
        <w:t xml:space="preserve">Among patients with a primary event, 41 of 66 patients with IIH (62%; 95</w:t>
      </w:r>
      <w:r>
        <w:rPr>
          <w:b w:val="0"/>
          <w:i w:val="0"/>
        </w:rPr>
        <w:t xml:space="preserve">% CI 49%–74%) and 32 of 63 comparators (51%; 95% CI 38%–64%) met the definition of recurrent seizure or epilepsy (Fisher exact p=0.22; eFigure 2). No interaction reached statistical significance (eTable 7). HRs were 1.90 among patients younger than 35 year</w:t>
      </w:r>
      <w:r>
        <w:rPr>
          <w:b w:val="0"/>
          <w:i w:val="0"/>
        </w:rPr>
        <w:t xml:space="preserve">s and 2.72 among those aged 35 years or older (p for interaction=0.31). By BMI, HRs were 2.86 for BMI &lt;35 kg/m² and 1.87 for BMI ≥35 kg/m² (p=0.26). By sex, the HR was 1.98 among women and 5.12 among men (p=0.055); the male estimate was based on 20 events.</w:t>
      </w:r>
      <w:r/>
    </w:p>
    <w:p>
      <w:pPr>
        <w:pStyle w:val="694"/>
        <w:pBdr/>
        <w:spacing w:after="100" w:before="200"/>
        <w:ind/>
        <w:rPr/>
      </w:pPr>
      <w:r>
        <w:t xml:space="preserve">3.5 | Differential detection</w:t>
      </w:r>
      <w:r/>
    </w:p>
    <w:p>
      <w:pPr>
        <w:pBdr/>
        <w:spacing w:after="120"/>
        <w:ind/>
        <w:rPr/>
      </w:pPr>
      <w:r>
        <w:rPr>
          <w:b w:val="0"/>
          <w:i w:val="0"/>
        </w:rPr>
        <w:t xml:space="preserve">Healthcare contact after the index date was consistently higher among patients with IIH (eTable 8). Rate ratios were 2.70 (95% CI 2.68–2.73) for all clinical visits, 2.27–2.92 across office, procedural, and hospital encounters, and 5.74 (9</w:t>
      </w:r>
      <w:r>
        <w:rPr>
          <w:b w:val="0"/>
          <w:i w:val="0"/>
        </w:rPr>
        <w:t xml:space="preserve">5% CI 4.96–6.65) for emergency department encounters. Laboratory contact was similar between groups (rate ratio 1.14). Neurology visits, neuroimaging, and EEG could not be compared because these data were not captured comparably in the two source extracts.</w:t>
      </w:r>
      <w:r/>
    </w:p>
    <w:p>
      <w:pPr>
        <w:pBdr/>
        <w:spacing w:after="120"/>
        <w:ind/>
        <w:rPr/>
      </w:pPr>
      <w:r>
        <w:rPr>
          <w:b w:val="0"/>
          <w:i w:val="0"/>
        </w:rPr>
        <w:t xml:space="preserve">All 11 negative-control outcomes were more prevalent at baseline among patients with IIH, with prevalence ratios ranging from 1.6 to 5.0 (all p&lt;0.01). Thus, none met the prespecified balance criterion for a specificity</w:t>
      </w:r>
      <w:r>
        <w:rPr>
          <w:b w:val="0"/>
          <w:i w:val="0"/>
        </w:rPr>
        <w:t xml:space="preserve"> analysis (Table 3). After the index date, 8 of 11 negative controls had HRs whose 95% CIs excluded 1. The seizure outcome had an unadjusted rate ratio of 2.15, which was lower than the corresponding estimates for 6 of the 11 controls. Across the negative </w:t>
      </w:r>
      <w:r>
        <w:rPr>
          <w:b w:val="0"/>
          <w:i w:val="0"/>
        </w:rPr>
        <w:t xml:space="preserve">controls, greater baseline imbalance was associated with larger post-index HRs (r=0.66, p=0.026). The empirical calibration model yielded a predicted detection-only HR of 1.04 (95% CI 0.37–2.90); importantly, this interval included the observed seizure HR.</w:t>
      </w:r>
      <w:r/>
    </w:p>
    <w:p>
      <w:pPr>
        <w:pBdr/>
        <w:spacing w:after="120"/>
        <w:ind/>
        <w:rPr/>
      </w:pPr>
      <w:r>
        <w:rPr>
          <w:b w:val="0"/>
          <w:i w:val="0"/>
        </w:rPr>
        <w:t xml:space="preserve">Adjustment for each of six measures of pre-index healthcare contact moved all 66 negative-control estimates toward the null (median change −29%; range −46% to −3%). In con</w:t>
      </w:r>
      <w:r>
        <w:rPr>
          <w:b w:val="0"/>
          <w:i w:val="0"/>
        </w:rPr>
        <w:t xml:space="preserve">trast, the seizure HR increased under each measure, ranging from 2.46 to 2.93. Because adjustment for healthcare utilization can have complex causal interpretations, these findings are supportive but do not establish that differential detection was absent.</w:t>
      </w:r>
      <w:r/>
    </w:p>
    <w:p>
      <w:pPr>
        <w:pBdr/>
        <w:spacing w:after="120"/>
        <w:ind/>
        <w:rPr/>
      </w:pPr>
      <w:r>
        <w:rPr>
          <w:b w:val="0"/>
          <w:i w:val="0"/>
        </w:rPr>
        <w:t xml:space="preserve">In a separate analysis that adjusted for post-index contact, the seizur</w:t>
      </w:r>
      <w:r>
        <w:rPr>
          <w:b w:val="0"/>
          <w:i w:val="0"/>
        </w:rPr>
        <w:t xml:space="preserve">e HR fell to 1.25 (95% CI 0.85–1.85). The same adjustment produced apparent protective associations for fracture and upper respiratory infection, illustrating the potential for collider bias when conditioning on post-exposure healthcare contact (eTable 6).</w:t>
      </w:r>
      <w:r/>
    </w:p>
    <w:p>
      <w:pPr>
        <w:pBdr/>
        <w:spacing w:after="120"/>
        <w:ind/>
        <w:rPr/>
      </w:pPr>
      <w:r>
        <w:rPr>
          <w:b w:val="0"/>
          <w:i w:val="0"/>
        </w:rPr>
        <w:t xml:space="preserve">The E-value for the primary HR was 3.99, and the E-value for the lower confidence limit was 2.62. Emergency department contact had a rate ratio</w:t>
      </w:r>
      <w:r>
        <w:rPr>
          <w:b w:val="0"/>
          <w:i w:val="0"/>
        </w:rPr>
        <w:t xml:space="preserve"> of 5.74 for IIH versus comparators, exceeding the point-estimate E-value; however, the corresponding association between emergency department contact and seizure ascertainment could not be quantified. The E-value therefore does not exclude detection bias.</w:t>
      </w:r>
      <w:r/>
    </w:p>
    <w:p>
      <w:pPr>
        <w:pStyle w:val="693"/>
        <w:pBdr/>
        <w:spacing w:after="100" w:before="200"/>
        <w:ind/>
        <w:rPr/>
      </w:pPr>
      <w:r>
        <w:t xml:space="preserve">4 | DISCUSSION</w:t>
      </w:r>
      <w:r/>
    </w:p>
    <w:p>
      <w:pPr>
        <w:pBdr/>
        <w:spacing w:after="120"/>
        <w:ind/>
        <w:rPr/>
      </w:pPr>
      <w:r>
        <w:rPr>
          <w:b w:val="0"/>
          <w:i w:val="0"/>
        </w:rPr>
        <w:t xml:space="preserve">In this matched electronic health record cohort, patients with IIH had approximately twice the rate of a clinically recognized incident seizure or epilepsy event compared with matched comparators (HR 2.28). The abs</w:t>
      </w:r>
      <w:r>
        <w:rPr>
          <w:b w:val="0"/>
          <w:i w:val="0"/>
        </w:rPr>
        <w:t xml:space="preserve">olute difference was modest: the estimated 3-year cumulative incidence was 3.83% with IIH versus 1.71% without IIH. The association persisted across several alternative outcome definitions, cohort restrictions, follow-up landmarks, and analytic approaches.</w:t>
      </w:r>
      <w:r/>
    </w:p>
    <w:p>
      <w:pPr>
        <w:pBdr/>
        <w:spacing w:after="120"/>
        <w:ind/>
        <w:rPr/>
      </w:pPr>
      <w:r>
        <w:rPr>
          <w:b w:val="0"/>
          <w:i w:val="0"/>
        </w:rPr>
        <w:t xml:space="preserve">The principal challenge in interpreting this association is as</w:t>
      </w:r>
      <w:r>
        <w:rPr>
          <w:b w:val="0"/>
          <w:i w:val="0"/>
        </w:rPr>
        <w:t xml:space="preserve">certainment. Patients with IIH had substantially more healthcare contact before and after the index date, and every negative-control outcome was more common at baseline. This makes differential detection a real concern rather than a theoretical limitation.</w:t>
      </w:r>
      <w:r/>
    </w:p>
    <w:p>
      <w:pPr>
        <w:pBdr/>
        <w:spacing w:after="120"/>
        <w:ind/>
        <w:rPr/>
      </w:pPr>
      <w:r>
        <w:rPr>
          <w:b w:val="0"/>
          <w:i w:val="0"/>
        </w:rPr>
        <w:t xml:space="preserve">Several findings argue against a simple explanation based solely on surveillance. First, adjustment f</w:t>
      </w:r>
      <w:r>
        <w:rPr>
          <w:b w:val="0"/>
          <w:i w:val="0"/>
        </w:rPr>
        <w:t xml:space="preserve">or pre-index healthcare contact moved all negative-control associations toward the null, whereas the seizure estimate did not attenuate. Second, the association persisted when events occurring during the first 30, 90, or 180 days after the washout were exc</w:t>
      </w:r>
      <w:r>
        <w:rPr>
          <w:b w:val="0"/>
          <w:i w:val="0"/>
        </w:rPr>
        <w:t xml:space="preserve">luded, making an explanation based only on the intensive diagnostic workup surrounding IIH less likely. Third, the primary association was not materially changed by restricting the outcome to epilepsy-specific codes or by removing the medication criterion.</w:t>
      </w:r>
      <w:r/>
    </w:p>
    <w:p>
      <w:pPr>
        <w:pBdr/>
        <w:spacing w:after="120"/>
        <w:ind/>
        <w:rPr/>
      </w:pPr>
      <w:r>
        <w:rPr>
          <w:b w:val="0"/>
          <w:i w:val="0"/>
        </w:rPr>
        <w:t xml:space="preserve">These findings should nevertheless be interpreted cautiously. The empirical calibration analysis was inconclusive: its confidence interval fo</w:t>
      </w:r>
      <w:r>
        <w:rPr>
          <w:b w:val="0"/>
          <w:i w:val="0"/>
        </w:rPr>
        <w:t xml:space="preserve">r the detection-only HR included the observed estimate. Moreover, the primary outcome could not be compared using the most seizure-specific channels of ascertainment—neurology visits, EEG, and neuroimaging—because those data were not captured equivalently </w:t>
      </w:r>
      <w:r>
        <w:rPr>
          <w:b w:val="0"/>
          <w:i w:val="0"/>
        </w:rPr>
        <w:t xml:space="preserve">in the two groups. The higher emergency department utilization in the IIH group is particularly relevant because emergency encounters are an important setting for first seizure evaluation. Thus, the data do not allow differential detection to be ruled out.</w:t>
      </w:r>
      <w:r/>
    </w:p>
    <w:p>
      <w:pPr>
        <w:pBdr/>
        <w:spacing w:after="120"/>
        <w:ind/>
        <w:rPr/>
      </w:pPr>
      <w:r>
        <w:rPr>
          <w:b w:val="0"/>
          <w:i w:val="0"/>
        </w:rPr>
        <w:t xml:space="preserve">OSA is another plausible contributor. It was nearly twice as prevalent among patients with IIH and was associated with the outcome in this cohort. Adjustment for OSA, hypertension, and PCOS reduced </w:t>
      </w:r>
      <w:r>
        <w:rPr>
          <w:b w:val="0"/>
          <w:i w:val="0"/>
        </w:rPr>
        <w:t xml:space="preserve">the HR from 2.28 to 2.11, suggesting that these measured comorbidities explain only part of the association. Residual confounding is possible, particularly because OSA is frequently underdiagnosed and was identified through electronic health record coding.</w:t>
      </w:r>
      <w:r/>
    </w:p>
    <w:p>
      <w:pPr>
        <w:pBdr/>
        <w:spacing w:after="120"/>
        <w:ind/>
        <w:rPr/>
      </w:pPr>
      <w:r>
        <w:rPr>
          <w:b w:val="0"/>
          <w:i w:val="0"/>
        </w:rPr>
        <w:t xml:space="preserve">Treatment may also have influenced ascertainment. Acetazolamide and topiramate have antiseizure activity, and both are used in IIH. Their use could therefore reduce seizure occurrence, alter the decision to initiate a separate ASM, </w:t>
      </w:r>
      <w:r>
        <w:rPr>
          <w:b w:val="0"/>
          <w:i w:val="0"/>
        </w:rPr>
        <w:t xml:space="preserve">or change the probability that a seizure is captured by the medication-based component of the outcome. If anything, such treatment effects could attenuate the observed association, although the direction and magnitude cannot be established from these data.</w:t>
      </w:r>
      <w:r/>
    </w:p>
    <w:p>
      <w:pPr>
        <w:pBdr/>
        <w:spacing w:after="120"/>
        <w:ind/>
        <w:rPr/>
      </w:pPr>
      <w:r>
        <w:rPr>
          <w:b w:val="0"/>
          <w:i w:val="0"/>
        </w:rPr>
        <w:t xml:space="preserve">Our findings add a population-level perspective to the literature connecting IIH, temporal encephaloceles, and epilepsy. Prior studie</w:t>
      </w:r>
      <w:r>
        <w:rPr>
          <w:b w:val="0"/>
          <w:i w:val="0"/>
        </w:rPr>
        <w:t xml:space="preserve">s have largely approached the question from the epilepsy side. In a presurgical series of 22 patients with drug-resistant temporal lobe epilepsy associated with anterior temporal meningoencephaloceles, Urbach and colleagues reported imaging features sugges</w:t>
      </w:r>
      <w:r>
        <w:rPr>
          <w:b w:val="0"/>
          <w:i w:val="0"/>
        </w:rPr>
        <w:t xml:space="preserve">tive of IIH and obesity in 10 patients.23 Martinez-Poles and colleagues similarly found smaller pituitary height and larger optic nerve sheath diameters among patients with temporal pole encephaloceles compared with controls with other focal epilepsies.24 </w:t>
      </w:r>
      <w:r>
        <w:rPr>
          <w:b w:val="0"/>
          <w:i w:val="0"/>
        </w:rPr>
        <w:t xml:space="preserve">Case reports have described seizures as a presenting or predominant manifestation of presumed IIH in patients with skull-base encephaloceles.10,11 These studies support a biologically plausible link but cannot estimate seizure risk among patients with IIH.</w:t>
      </w:r>
      <w:r/>
    </w:p>
    <w:p>
      <w:pPr>
        <w:pBdr/>
        <w:spacing w:after="120"/>
        <w:ind/>
        <w:rPr/>
      </w:pPr>
      <w:r>
        <w:rPr>
          <w:b w:val="0"/>
          <w:i w:val="0"/>
        </w:rPr>
        <w:t xml:space="preserve">The mechanism underlying the association remains uncertain. Skull-base encephaloceles are an attractive candidate because they provide </w:t>
      </w:r>
      <w:r>
        <w:rPr>
          <w:b w:val="0"/>
          <w:i w:val="0"/>
        </w:rPr>
        <w:t xml:space="preserve">a structural pathway linking chronically raised intracranial pressure to focal cortical dysfunction and epilepsy.4–8 Diffuse effects of sustained pressure, as well as shared metabolic and sleep-related risk factors, are other possibilities. Only 30 patient</w:t>
      </w:r>
      <w:r>
        <w:rPr>
          <w:b w:val="0"/>
          <w:i w:val="0"/>
        </w:rPr>
        <w:t xml:space="preserve">s in the present dataset had documented encephalocele status, precluding meaningful analysis. Future studies should therefore incorporate systematic review of skull-base imaging and detailed seizure phenotyping rather than relying on diagnosis codes alone.</w:t>
      </w:r>
      <w:r/>
    </w:p>
    <w:p>
      <w:pPr>
        <w:pBdr/>
        <w:spacing w:after="120"/>
        <w:ind/>
        <w:rPr/>
      </w:pPr>
      <w:r>
        <w:rPr>
          <w:b w:val="0"/>
          <w:i w:val="0"/>
        </w:rPr>
        <w:t xml:space="preserve">The clinical implications are limited by the modest absolute risk and the uncertainty surrounding ascertainment. These data do not provi</w:t>
      </w:r>
      <w:r>
        <w:rPr>
          <w:b w:val="0"/>
          <w:i w:val="0"/>
        </w:rPr>
        <w:t xml:space="preserve">de a basis for routine EEG screening or prophylactic ASM treatment in patients with IIH. They do support careful evaluation of unexplained paroxysmal events in patients with IIH, particularly when the semiology is compatible with focal seizures. Conversely</w:t>
      </w:r>
      <w:r>
        <w:rPr>
          <w:b w:val="0"/>
          <w:i w:val="0"/>
        </w:rPr>
        <w:t xml:space="preserve">, when a patient with obesity presents with a new focal seizure, review of brain imaging for subtle signs of raised intracranial pressure and skull-base encephaloceles may be useful.4,5 When both conditions are present, treatment selection may require cons</w:t>
      </w:r>
      <w:r>
        <w:rPr>
          <w:b w:val="0"/>
          <w:i w:val="0"/>
        </w:rPr>
        <w:t xml:space="preserve">ideration of weight and IIH management; for example, topiramate may address both seizure risk and weight-related concerns, whereas some ASMs associated with weight gain may be less attractive.25 These clinical considerations require prospective evaluation.</w:t>
      </w:r>
      <w:r/>
    </w:p>
    <w:p>
      <w:pPr>
        <w:pStyle w:val="694"/>
        <w:pBdr/>
        <w:spacing w:after="100" w:before="200"/>
        <w:ind/>
        <w:rPr/>
      </w:pPr>
      <w:r>
        <w:t xml:space="preserve">4.1 | Limitations</w:t>
      </w:r>
      <w:r/>
    </w:p>
    <w:p>
      <w:pPr>
        <w:pBdr/>
        <w:spacing w:after="120"/>
        <w:ind/>
        <w:rPr/>
      </w:pPr>
      <w:r>
        <w:rPr>
          <w:b w:val="0"/>
          <w:i w:val="0"/>
        </w:rPr>
        <w:t xml:space="preserve">Several limitations warrant emphasis. First, differentia</w:t>
      </w:r>
      <w:r>
        <w:rPr>
          <w:b w:val="0"/>
          <w:i w:val="0"/>
        </w:rPr>
        <w:t xml:space="preserve">l ascertainment could not be excluded. The data elements most specific to seizure evaluation—neurology encounters, neuroimaging, and EEG—were not comparably available in the two groups. The comparator cohort was drawn from the general clinical population r</w:t>
      </w:r>
      <w:r>
        <w:rPr>
          <w:b w:val="0"/>
          <w:i w:val="0"/>
        </w:rPr>
        <w:t xml:space="preserve">ather than from a condition with similar neurologic surveillance. An active-comparator design may reduce this concern, although selecting an appropriate comparator would require careful consideration of how surveillance differs across candidate conditions.</w:t>
      </w:r>
      <w:r/>
    </w:p>
    <w:p>
      <w:pPr>
        <w:pBdr/>
        <w:spacing w:after="120"/>
        <w:ind/>
        <w:rPr/>
      </w:pPr>
      <w:r>
        <w:rPr>
          <w:b w:val="0"/>
          <w:i w:val="0"/>
        </w:rPr>
        <w:t xml:space="preserve">Second, follow-up selection was asymmetric. Comparators were screened for post-washo</w:t>
      </w:r>
      <w:r>
        <w:rPr>
          <w:b w:val="0"/>
          <w:i w:val="0"/>
        </w:rPr>
        <w:t xml:space="preserve">ut follow-up at selection, whereas cases were not subjected to the same step. Restriction to complete matched sets reduced the HR from 2.28 to 2.06, indicating that this design feature had a measurable effect, although it did not eliminate the association.</w:t>
      </w:r>
      <w:r/>
    </w:p>
    <w:p>
      <w:pPr>
        <w:pBdr/>
        <w:spacing w:after="120"/>
        <w:ind/>
        <w:rPr/>
      </w:pPr>
      <w:r>
        <w:rPr>
          <w:b w:val="0"/>
          <w:i w:val="0"/>
        </w:rPr>
        <w:t xml:space="preserve">Third, IIH was identified using diagnosis codes and lumbar pun</w:t>
      </w:r>
      <w:r>
        <w:rPr>
          <w:b w:val="0"/>
          <w:i w:val="0"/>
        </w:rPr>
        <w:t xml:space="preserve">cture rather than criterion-based adjudication. Although restriction to patients with an opening pressure of at least 25 cm H₂O produced a similar estimate, opening pressure was available for only 74% of cases. The primary outcome was also based on codes a</w:t>
      </w:r>
      <w:r>
        <w:rPr>
          <w:b w:val="0"/>
          <w:i w:val="0"/>
        </w:rPr>
        <w:t xml:space="preserve">nd medication records. Seizure type, etiology, and provoked versus unprovoked status were unavailable, so the outcome cannot be mapped directly onto ILAE definitions of epilepsy. The recurrence definition is a proxy rather than a formal epilepsy diagnosis.</w:t>
      </w:r>
      <w:r/>
    </w:p>
    <w:p>
      <w:pPr>
        <w:pBdr/>
        <w:spacing w:after="120"/>
        <w:ind/>
        <w:rPr/>
      </w:pPr>
      <w:r>
        <w:rPr>
          <w:b w:val="0"/>
          <w:i w:val="0"/>
        </w:rPr>
        <w:t xml:space="preserve">Fourth, chart validation was limited to 50 events per group. False-positive outcomes were slightly more common amon</w:t>
      </w:r>
      <w:r>
        <w:rPr>
          <w:b w:val="0"/>
          <w:i w:val="0"/>
        </w:rPr>
        <w:t xml:space="preserve">g patients with IIH (4% vs 0%), and correcting for this difference would be expected to attenuate the association modestly, but the small validation sample limits precision. Encephalocele data were too sparse to test the most specific structural mechanism.</w:t>
      </w:r>
      <w:r/>
    </w:p>
    <w:p>
      <w:pPr>
        <w:pBdr/>
        <w:spacing w:after="120"/>
        <w:ind/>
        <w:rPr/>
      </w:pPr>
      <w:r>
        <w:rPr>
          <w:b w:val="0"/>
          <w:i w:val="0"/>
        </w:rPr>
        <w:t xml:space="preserve">Fifth, medication capture differed between the two source extracts: the case extract included inpatient administra</w:t>
      </w:r>
      <w:r>
        <w:rPr>
          <w:b w:val="0"/>
          <w:i w:val="0"/>
        </w:rPr>
        <w:t xml:space="preserve">tions, whereas the comparator extract contained outpatient prescriptions. This difference could bias the medication-based component of the outcome toward the null. Consistent with this possibility, removal of the medication criterion yielded an HR of 1.93.</w:t>
      </w:r>
      <w:r/>
    </w:p>
    <w:p>
      <w:pPr>
        <w:pBdr/>
        <w:spacing w:after="120"/>
        <w:ind/>
        <w:rPr/>
      </w:pPr>
      <w:r>
        <w:rPr>
          <w:b w:val="0"/>
          <w:i w:val="0"/>
        </w:rPr>
        <w:t xml:space="preserve">Finally, race was unavailable for cases, smoking was not comparably recorded, and median follow-up was shorter among comparators. Censoring based on last observed clinical contact may also be informative becaus</w:t>
      </w:r>
      <w:r>
        <w:rPr>
          <w:b w:val="0"/>
          <w:i w:val="0"/>
        </w:rPr>
        <w:t xml:space="preserve">e healthcare utilization is related to outcome detection. The study was conducted within a single integrated academic health system, and the findings may not generalize to community populations or healthcare systems with different patterns of surveillance.</w:t>
      </w:r>
      <w:r/>
    </w:p>
    <w:p>
      <w:pPr>
        <w:pStyle w:val="693"/>
        <w:pBdr/>
        <w:spacing w:after="100" w:before="200"/>
        <w:ind/>
        <w:rPr/>
      </w:pPr>
      <w:r>
        <w:t xml:space="preserve">5 | CONCLUSIONS</w:t>
      </w:r>
      <w:r/>
    </w:p>
    <w:p>
      <w:pPr>
        <w:pBdr/>
        <w:spacing w:after="120"/>
        <w:ind/>
        <w:rPr/>
      </w:pPr>
      <w:r>
        <w:rPr>
          <w:b w:val="0"/>
          <w:i w:val="0"/>
        </w:rPr>
        <w:t xml:space="preserve">In this matched electronic health record cohort</w:t>
      </w:r>
      <w:r>
        <w:rPr>
          <w:b w:val="0"/>
          <w:i w:val="0"/>
        </w:rPr>
        <w:t xml:space="preserve">, IIH was associated with approximately twice the rate of clinically recognized incident seizure or epilepsy, corresponding to an absolute 3-year excess of about 2 percentage points. Differential healthcare surveillance was clearly present and cannot be co</w:t>
      </w:r>
      <w:r>
        <w:rPr>
          <w:b w:val="0"/>
          <w:i w:val="0"/>
        </w:rPr>
        <w:t xml:space="preserve">mpletely excluded, However it does not fully explain this assoication. The findings support further investigation in cohorts with comparable neurologic surveillance, systematic characterization of seizure phenotype, and dedicated assessment of skull-base encephaloceles.</w:t>
      </w:r>
      <w:r/>
    </w:p>
    <w:p>
      <w:pPr>
        <w:pStyle w:val="693"/>
        <w:pBdr/>
        <w:spacing w:after="100" w:before="200"/>
        <w:ind/>
        <w:rPr/>
      </w:pPr>
      <w:r>
        <w:t xml:space="preserve">AUTHOR CONTRIBUTIONS</w:t>
      </w:r>
      <w:r/>
    </w:p>
    <w:p>
      <w:pPr>
        <w:pBdr/>
        <w:spacing w:after="120"/>
        <w:ind/>
        <w:rPr/>
      </w:pPr>
      <w:r>
        <w:rPr>
          <w:b w:val="0"/>
          <w:i w:val="0"/>
        </w:rPr>
        <w:t xml:space="preserve">[Author contributions]</w:t>
      </w:r>
      <w:r/>
    </w:p>
    <w:p>
      <w:pPr>
        <w:pStyle w:val="693"/>
        <w:pBdr/>
        <w:spacing w:after="100" w:before="200"/>
        <w:ind/>
        <w:rPr/>
      </w:pPr>
      <w:r>
        <w:t xml:space="preserve">ACKNOWLEDGMENTS</w:t>
      </w:r>
      <w:r/>
    </w:p>
    <w:p>
      <w:pPr>
        <w:pBdr/>
        <w:spacing w:after="120"/>
        <w:ind/>
        <w:rPr/>
      </w:pPr>
      <w:r>
        <w:rPr>
          <w:b w:val="0"/>
          <w:i w:val="0"/>
        </w:rPr>
        <w:t xml:space="preserve">[Acknowledgments]</w:t>
      </w:r>
      <w:r/>
    </w:p>
    <w:p>
      <w:pPr>
        <w:pStyle w:val="693"/>
        <w:pBdr/>
        <w:spacing w:after="100" w:before="200"/>
        <w:ind/>
        <w:rPr/>
      </w:pPr>
      <w:r>
        <w:t xml:space="preserve">FUNDING</w:t>
      </w:r>
      <w:r/>
    </w:p>
    <w:p>
      <w:pPr>
        <w:pBdr/>
        <w:spacing w:after="120"/>
        <w:ind/>
        <w:rPr/>
      </w:pPr>
      <w:r>
        <w:rPr>
          <w:b w:val="0"/>
          <w:i w:val="0"/>
        </w:rPr>
        <w:t xml:space="preserve">[Funding sources]</w:t>
      </w:r>
      <w:r/>
    </w:p>
    <w:p>
      <w:pPr>
        <w:pStyle w:val="693"/>
        <w:pBdr/>
        <w:spacing w:after="100" w:before="200"/>
        <w:ind/>
        <w:rPr/>
      </w:pPr>
      <w:r>
        <w:t xml:space="preserve">CONFLICT OF INTEREST STATEMENT</w:t>
      </w:r>
      <w:r/>
    </w:p>
    <w:p>
      <w:pPr>
        <w:pBdr/>
        <w:spacing w:after="120"/>
        <w:ind/>
        <w:rPr/>
      </w:pPr>
      <w:r>
        <w:rPr>
          <w:b w:val="0"/>
          <w:i w:val="0"/>
        </w:rPr>
        <w:t xml:space="preserve">[Conflict of interest disclosures]</w:t>
      </w:r>
      <w:r/>
    </w:p>
    <w:p>
      <w:pPr>
        <w:pStyle w:val="693"/>
        <w:pBdr/>
        <w:spacing w:after="100" w:before="200"/>
        <w:ind/>
        <w:rPr/>
      </w:pPr>
      <w:r>
        <w:t xml:space="preserve">ETHICAL PUBLICATION STATEMENT</w:t>
      </w:r>
      <w:r/>
    </w:p>
    <w:p>
      <w:pPr>
        <w:pBdr/>
        <w:spacing w:after="120"/>
        <w:ind/>
        <w:rPr/>
      </w:pPr>
      <w:r>
        <w:rPr>
          <w:b w:val="0"/>
          <w:i w:val="0"/>
        </w:rPr>
        <w:t xml:space="preserve">We confirm that we have read the Journal's position on issues involved in ethical publication and affirm that this report is consistent with those guidelines.</w:t>
      </w:r>
      <w:r/>
    </w:p>
    <w:p>
      <w:pPr>
        <w:pStyle w:val="693"/>
        <w:pBdr/>
        <w:spacing w:after="100" w:before="200"/>
        <w:ind/>
        <w:rPr/>
      </w:pPr>
      <w:r>
        <w:t xml:space="preserve">DATA AVAILABILITY STATEMENT</w:t>
      </w:r>
      <w:r/>
    </w:p>
    <w:p>
      <w:pPr>
        <w:pBdr/>
        <w:spacing w:after="120"/>
        <w:ind/>
        <w:rPr/>
      </w:pPr>
      <w:r>
        <w:rPr>
          <w:b w:val="0"/>
          <w:i w:val="0"/>
        </w:rPr>
        <w:t xml:space="preserve">[Data availability statement]</w:t>
      </w:r>
      <w:r/>
    </w:p>
    <w:p>
      <w:pPr>
        <w:pStyle w:val="693"/>
        <w:pBdr/>
        <w:spacing w:after="100" w:before="200"/>
        <w:ind/>
        <w:rPr/>
      </w:pPr>
      <w:r>
        <w:t xml:space="preserve">REFERENCES</w:t>
      </w:r>
      <w:r/>
    </w:p>
    <w:p>
      <w:pPr>
        <w:pBdr/>
        <w:spacing w:after="120"/>
        <w:ind/>
        <w:rPr/>
      </w:pPr>
      <w:r>
        <w:rPr>
          <w:b w:val="0"/>
          <w:i w:val="0"/>
        </w:rPr>
        <w:t xml:space="preserve">1. Kilgore KP, Lee MS, Leavitt JA, et al. Re-evaluating the incidence of idiopathic intracranial hypertension in an era of increasing obesity. Ophthalmology. 2017;124(5):697–700.</w:t>
      </w:r>
      <w:r/>
    </w:p>
    <w:p>
      <w:pPr>
        <w:pBdr/>
        <w:spacing w:after="120"/>
        <w:ind/>
        <w:rPr/>
      </w:pPr>
      <w:r>
        <w:rPr>
          <w:b w:val="0"/>
          <w:i w:val="0"/>
        </w:rPr>
        <w:t xml:space="preserve">2. Miah L, Strafford H, Fonferko-Shadrach B, et al. Incidence, prevalence, and health care outcomes in idiopathic intracranial hypertension: a population study. Neurology. 2021;96(8):e1251–e1261.</w:t>
      </w:r>
      <w:r/>
    </w:p>
    <w:p>
      <w:pPr>
        <w:pBdr/>
        <w:spacing w:after="120"/>
        <w:ind/>
        <w:rPr/>
      </w:pPr>
      <w:r>
        <w:rPr>
          <w:b w:val="0"/>
          <w:i w:val="0"/>
        </w:rPr>
        <w:t xml:space="preserve">3. Wall M, Kupersmith MJ, Kieburtz KD, et al. The idiopathic intracranial hypertension treatment trial: clinical profile at baseline. JAMA Neurol. 2014;71(6):693–701.</w:t>
      </w:r>
      <w:r/>
    </w:p>
    <w:p>
      <w:pPr>
        <w:pBdr/>
        <w:spacing w:after="120"/>
        <w:ind/>
        <w:rPr/>
      </w:pPr>
      <w:r>
        <w:rPr>
          <w:b w:val="0"/>
          <w:i w:val="0"/>
        </w:rPr>
        <w:t xml:space="preserve">4. Abou-Hamden A, Lau M, Fabinyi G, et al. Small temporal pole encephaloceles: a treatable cause of “lesion negative” temporal lobe epilepsy. Epilepsia. 2010;51(11):2199–2202.</w:t>
      </w:r>
      <w:r/>
    </w:p>
    <w:p>
      <w:pPr>
        <w:pBdr/>
        <w:spacing w:after="120"/>
        <w:ind/>
        <w:rPr/>
      </w:pPr>
      <w:r>
        <w:rPr>
          <w:b w:val="0"/>
          <w:i w:val="0"/>
        </w:rPr>
        <w:t xml:space="preserve">5. Toledano R, Jiménez-Huete A, Campo P, et al. Small temporal pole encephalocele: a hidden cause of “normal” MRI temporal lobe epilepsy. Epilepsia. 2016;57(5):841–851.</w:t>
      </w:r>
      <w:r/>
    </w:p>
    <w:p>
      <w:pPr>
        <w:pBdr/>
        <w:spacing w:after="120"/>
        <w:ind/>
        <w:rPr/>
      </w:pPr>
      <w:r>
        <w:rPr>
          <w:b w:val="0"/>
          <w:i w:val="0"/>
        </w:rPr>
        <w:t xml:space="preserve">6. Panov F, Li Y, Chang EF, et al. Epilepsy with temporal encephalocele: characteristics of electrocorticography and surgical outcome. Epilepsia. 2016;57(2):e33–e38.</w:t>
      </w:r>
      <w:r/>
    </w:p>
    <w:p>
      <w:pPr>
        <w:pBdr/>
        <w:spacing w:after="120"/>
        <w:ind/>
        <w:rPr/>
      </w:pPr>
      <w:r>
        <w:rPr>
          <w:b w:val="0"/>
          <w:i w:val="0"/>
        </w:rPr>
        <w:t xml:space="preserve">7. Tse GT, Frydman AS, O'Shea MF, et al. Anterior temporal encephaloceles: elusive, important, and rewarding to treat. Epilepsia. 2020;61(12):2675–2684.</w:t>
      </w:r>
      <w:r/>
    </w:p>
    <w:p>
      <w:pPr>
        <w:pBdr/>
        <w:spacing w:after="120"/>
        <w:ind/>
        <w:rPr/>
      </w:pPr>
      <w:r>
        <w:rPr>
          <w:b w:val="0"/>
          <w:i w:val="0"/>
        </w:rPr>
        <w:t xml:space="preserve">8. Bidot S, Saindane AM, Peragallo JH, et al. Brain imaging in idiopathic intracranial hypertension. J Neuroophthalmol. 2015;35(4):400–411.</w:t>
      </w:r>
      <w:r/>
    </w:p>
    <w:p>
      <w:pPr>
        <w:pBdr/>
        <w:spacing w:after="120"/>
        <w:ind/>
        <w:rPr/>
      </w:pPr>
      <w:r>
        <w:rPr>
          <w:b w:val="0"/>
          <w:i w:val="0"/>
        </w:rPr>
        <w:t xml:space="preserve">9. Malow BA, Levy K, Maturen K, Bowes R. Obstructive sleep apnea is common in medically refractory epilepsy patients. Neurology. 2000;55(7):1002–1007.</w:t>
      </w:r>
      <w:r/>
    </w:p>
    <w:p>
      <w:pPr>
        <w:pBdr/>
        <w:spacing w:after="120"/>
        <w:ind/>
        <w:rPr/>
      </w:pPr>
      <w:r>
        <w:rPr>
          <w:b w:val="0"/>
          <w:i w:val="0"/>
        </w:rPr>
        <w:t xml:space="preserve">10. Sayal AP, Vyas M, Micieli JA. Seizure as the presenting sign of idiopathic intracranial hypertension. BMJ Case Rep. 2022;15(1):e246604.</w:t>
      </w:r>
      <w:r/>
    </w:p>
    <w:p>
      <w:pPr>
        <w:pBdr/>
        <w:spacing w:after="120"/>
        <w:ind/>
        <w:rPr/>
      </w:pPr>
      <w:r>
        <w:rPr>
          <w:b w:val="0"/>
          <w:i w:val="0"/>
        </w:rPr>
        <w:t xml:space="preserve">11. Bouthour W, Al-Balushi A, Dattilo M, et al. Seizures as the initial manifestation of idiopathic intracranial hypertension (P2-9.001) [abstract]. Neurology. 2023;100(17 Suppl 2). doi:10.1212/WNL.0000000000202518.</w:t>
      </w:r>
      <w:r/>
    </w:p>
    <w:p>
      <w:pPr>
        <w:pBdr/>
        <w:spacing w:after="120"/>
        <w:ind/>
        <w:rPr/>
      </w:pPr>
      <w:r>
        <w:rPr>
          <w:b w:val="0"/>
          <w:i w:val="0"/>
        </w:rPr>
        <w:t xml:space="preserve">12. Lipsitch M, Tchetgen Tchetgen E, Cohen T. Negative controls: a tool for detecting confounding and bias in observational studies. Epidemiology. 2010;21(3):383–388.</w:t>
      </w:r>
      <w:r/>
    </w:p>
    <w:p>
      <w:pPr>
        <w:pBdr/>
        <w:spacing w:after="120"/>
        <w:ind/>
        <w:rPr/>
      </w:pPr>
      <w:r>
        <w:rPr>
          <w:b w:val="0"/>
          <w:i w:val="0"/>
        </w:rPr>
        <w:t xml:space="preserve">13. von Elm E, Altman DG, Egger M, et al. The Strengthening the Reporting of Observational Studies in Epidemiology (STROBE) statement: guidelines for reporting observational studies. Lancet. 2007;370(9596):1453–1457.</w:t>
      </w:r>
      <w:r/>
    </w:p>
    <w:p>
      <w:pPr>
        <w:pBdr/>
        <w:spacing w:after="120"/>
        <w:ind/>
        <w:rPr/>
      </w:pPr>
      <w:r>
        <w:rPr>
          <w:b w:val="0"/>
          <w:i w:val="0"/>
        </w:rPr>
        <w:t xml:space="preserve">14. Benchimol EI, Smeeth L, Guttmann A, et al. The REporting of studies Conducted using Observational Routinely-collected health Data (RECORD) statement. PLoS Med. 2015;12(10):e1001885.</w:t>
      </w:r>
      <w:r/>
    </w:p>
    <w:p>
      <w:pPr>
        <w:pBdr/>
        <w:spacing w:after="120"/>
        <w:ind/>
        <w:rPr/>
      </w:pPr>
      <w:r>
        <w:rPr>
          <w:b w:val="0"/>
          <w:i w:val="0"/>
        </w:rPr>
        <w:t xml:space="preserve">15. Friedman DI, Liu GT, Digre KB. Revised diagnostic criteria for the pseudotumor cerebri syndrome in adults and children. Neurology. 2013;81(13):1159–1165.</w:t>
      </w:r>
      <w:r/>
    </w:p>
    <w:p>
      <w:pPr>
        <w:pBdr/>
        <w:spacing w:after="120"/>
        <w:ind/>
        <w:rPr/>
      </w:pPr>
      <w:r>
        <w:rPr>
          <w:b w:val="0"/>
          <w:i w:val="0"/>
        </w:rPr>
        <w:t xml:space="preserve">16. Fisher RS, Acevedo C, Arzimanoglou A, et al. ILAE official report: a practical clinical definition of epilepsy. Epilepsia. 2014;55(4):475–482.</w:t>
      </w:r>
      <w:r/>
    </w:p>
    <w:p>
      <w:pPr>
        <w:pBdr/>
        <w:spacing w:after="120"/>
        <w:ind/>
        <w:rPr/>
      </w:pPr>
      <w:r>
        <w:rPr>
          <w:b w:val="0"/>
          <w:i w:val="0"/>
        </w:rPr>
        <w:t xml:space="preserve">17. Lin DY, Wei LJ. The robust inference for the Cox proportional hazards model. J Am Stat Assoc. 1989;84(408):1074–1078.</w:t>
      </w:r>
      <w:r/>
    </w:p>
    <w:p>
      <w:pPr>
        <w:pBdr/>
        <w:spacing w:after="120"/>
        <w:ind/>
        <w:rPr/>
      </w:pPr>
      <w:r>
        <w:rPr>
          <w:b w:val="0"/>
          <w:i w:val="0"/>
        </w:rPr>
        <w:t xml:space="preserve">18. Fine JP, Gray RJ. A proportional hazards model for the subdistribution of a competing risk. J Am Stat Assoc. 1999;94(446):1074–1081.</w:t>
      </w:r>
      <w:r/>
    </w:p>
    <w:p>
      <w:pPr>
        <w:pBdr/>
        <w:spacing w:after="120"/>
        <w:ind/>
        <w:rPr/>
      </w:pPr>
      <w:r>
        <w:rPr>
          <w:b w:val="0"/>
          <w:i w:val="0"/>
        </w:rPr>
        <w:t xml:space="preserve">19. Li F, Morgan KL, Zaslavsky AM. Balancing covariates via propensity score weighting. J Am Stat Assoc. 2018;113(521):390–400.</w:t>
      </w:r>
      <w:r/>
    </w:p>
    <w:p>
      <w:pPr>
        <w:pBdr/>
        <w:spacing w:after="120"/>
        <w:ind/>
        <w:rPr/>
      </w:pPr>
      <w:r>
        <w:rPr>
          <w:b w:val="0"/>
          <w:i w:val="0"/>
        </w:rPr>
        <w:t xml:space="preserve">20. Schuemie MJ, Ryan PB, DuMouchel W, Suchard MA, Madigan D. Interpreting observational studies: why empirical calibration is needed to correct p-values. Stat Med. 2014;33(2):209–218.</w:t>
      </w:r>
      <w:r/>
    </w:p>
    <w:p>
      <w:pPr>
        <w:pBdr/>
        <w:spacing w:after="120"/>
        <w:ind/>
        <w:rPr/>
      </w:pPr>
      <w:r>
        <w:rPr>
          <w:b w:val="0"/>
          <w:i w:val="0"/>
        </w:rPr>
        <w:t xml:space="preserve">21. VanderWeele TJ, Ding P. Sensitivity analysis in observational research: introducing the E-value. Ann Intern Med. 2017;167(4):268–274.</w:t>
      </w:r>
      <w:r/>
    </w:p>
    <w:p>
      <w:pPr>
        <w:pBdr/>
        <w:spacing w:after="120"/>
        <w:ind/>
        <w:rPr/>
      </w:pPr>
      <w:r>
        <w:rPr>
          <w:b w:val="0"/>
          <w:i w:val="0"/>
        </w:rPr>
        <w:t xml:space="preserve">22. Reiss WG, Oles KS. Acetazolamide in the treatment of seizures. Ann Pharmacother. 1996;30(5):514–519.</w:t>
      </w:r>
      <w:r/>
    </w:p>
    <w:p>
      <w:pPr>
        <w:pBdr/>
        <w:spacing w:after="120"/>
        <w:ind/>
        <w:rPr/>
      </w:pPr>
      <w:r>
        <w:rPr>
          <w:b w:val="0"/>
          <w:i w:val="0"/>
        </w:rPr>
        <w:t xml:space="preserve">23. Urbach H, Jamneala G, Mader I, et al. Temporal lobe epilepsy due to meningoencephaloceles into the greater sphenoid wing: a consequence of idiopathic intracranial hypertension? Neuroradiology. 2018;60(1):51–60.</w:t>
      </w:r>
      <w:r/>
    </w:p>
    <w:p>
      <w:pPr>
        <w:pBdr/>
        <w:spacing w:after="120"/>
        <w:ind/>
        <w:rPr/>
      </w:pPr>
      <w:r>
        <w:rPr>
          <w:b w:val="0"/>
          <w:i w:val="0"/>
        </w:rPr>
        <w:t xml:space="preserve">24. Martinez-Poles J, Toledano R, Jiménez-Huete A, et al. Epilepsy associated with temporal pole encephaloceles: an unrecognized manifestation of idiopathic intracranial hypertension? Clin Neuroradiol. 2021;31(3):575–579.</w:t>
      </w:r>
      <w:r/>
    </w:p>
    <w:p>
      <w:pPr>
        <w:pBdr/>
        <w:spacing w:after="120"/>
        <w:ind/>
        <w:rPr/>
      </w:pPr>
      <w:r>
        <w:rPr>
          <w:b w:val="0"/>
          <w:i w:val="0"/>
        </w:rPr>
        <w:t xml:space="preserve">25. Ben-Menachem E. Weight issues for people with epilepsy—a review. Epilepsia. 2007;48(Suppl 9):42–45.</w:t>
      </w:r>
      <w:r/>
    </w:p>
    <w:p>
      <w:pPr>
        <w:pStyle w:val="693"/>
        <w:pBdr/>
        <w:spacing w:after="100" w:before="200"/>
        <w:ind/>
        <w:rPr/>
      </w:pPr>
      <w:r>
        <w:t xml:space="preserve">TABLES AND FIGURE LEGENDS</w:t>
      </w:r>
      <w:r/>
    </w:p>
    <w:p>
      <w:pPr>
        <w:pBdr/>
        <w:spacing w:after="120"/>
        <w:ind/>
        <w:rPr/>
      </w:pPr>
      <w:r>
        <w:rPr>
          <w:b w:val="0"/>
          <w:i w:val="0"/>
        </w:rPr>
        <w:t xml:space="preserve">Tables 1–3 and Figure legends should be retained from the source manuscript, with the editorial/statistical revisions noted below. The table values were not independently recomputed from raw data in this editorial revision.</w:t>
      </w:r>
      <w:r/>
    </w:p>
    <w:sectPr>
      <w:footnotePr/>
      <w:endnotePr/>
      <w:type w:val="nextPage"/>
      <w:pgSz w:h="15840" w:orient="portrait" w:w="12240"/>
      <w:pgMar w:top="792" w:right="1296" w:bottom="1152" w:left="1296"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5040102010807070707"/>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ind/>
    </w:pPr>
    <w:rPr>
      <w:rFonts w:ascii="Times New Roman" w:hAnsi="Times New Roman" w:eastAsia="Times New Roman"/>
      <w:sz w:val="24"/>
    </w:r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Times New Roman" w:hAnsi="Times New Roman" w:eastAsia="Times New Roman" w:asciiTheme="majorHAnsi" w:hAnsiTheme="majorHAnsi" w:eastAsiaTheme="majorEastAsia" w:cstheme="majorBidi"/>
      <w:b/>
      <w:bCs/>
      <w:color w:val="365f91" w:themeColor="accent1" w:themeShade="BF"/>
      <w:sz w:val="26"/>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Times New Roman" w:hAnsi="Times New Roman" w:eastAsia="Times New Roman" w:asciiTheme="majorHAnsi" w:hAnsiTheme="majorHAnsi" w:eastAsiaTheme="majorEastAsia" w:cstheme="majorBidi"/>
      <w:b/>
      <w:bCs/>
      <w:color w:val="4f81bd" w:themeColor="accent1"/>
      <w:sz w:val="24"/>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Times New Roman" w:hAnsi="Times New Roman" w:eastAsia="Times New Roman" w:asciiTheme="majorHAnsi" w:hAnsiTheme="majorHAnsi" w:eastAsiaTheme="majorEastAsia" w:cstheme="majorBidi"/>
      <w:b/>
      <w:bCs/>
      <w:color w:val="4f81bd" w:themeColor="accent1"/>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imes New Roman" w:hAnsi="Times New Roman" w:eastAsia="Times New Roman" w:asciiTheme="majorHAnsi" w:hAnsiTheme="majorHAnsi" w:eastAsiaTheme="majorEastAsia" w:cstheme="majorBidi"/>
      <w:color w:val="17365d" w:themeColor="text2" w:themeShade="BF"/>
      <w:spacing w:val="5"/>
      <w:sz w:val="3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2026-09-25T14:57:27Z</dcterms:modified>
  <cp:category/>
</cp:coreProperties>
</file>