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Times New Roman" w:cs="Times New Roman" w:eastAsia="Times New Roman" w:hAnsi="Times New Roman"/>
          <w:b/>
          <w:bCs/>
          <w:sz w:val="28"/>
          <w:szCs w:val="28"/>
        </w:rPr>
        <w:t xml:space="preserve">Incident Seizures and Epilepsy Following Idiopathic Intracranial Hypertension: A Matched Cohort Study</w:t>
      </w:r>
    </w:p>
    <w:p>
      <w:pPr>
        <w:pStyle w:val="Heading1"/>
        <w:spacing w:after="160" w:before="260"/>
      </w:pPr>
      <w:r>
        <w:rPr>
          <w:rFonts w:ascii="Times New Roman" w:cs="Times New Roman" w:eastAsia="Times New Roman" w:hAnsi="Times New Roman"/>
          <w:b/>
          <w:bCs/>
          <w:sz w:val="26"/>
          <w:szCs w:val="26"/>
        </w:rPr>
        <w:t xml:space="preserve">ABSTRACT</w:t>
      </w:r>
    </w:p>
    <w:p>
      <w:pPr>
        <w:spacing w:after="0" w:line="480"/>
      </w:pPr>
      <w:r>
        <w:rPr>
          <w:rFonts w:ascii="Times New Roman" w:cs="Times New Roman" w:eastAsia="Times New Roman" w:hAnsi="Times New Roman"/>
          <w:sz w:val="24"/>
          <w:szCs w:val="24"/>
        </w:rPr>
        <w:t xml:space="preserve">Objective: To estimate the rate of incident seizures and epilepsy after idiopathic intracranial hypertension (IIH) and to examine whether differential healthcare surveillance could account for the association.</w:t>
      </w:r>
    </w:p>
    <w:p>
      <w:pPr>
        <w:spacing w:after="120"/>
      </w:pPr>
    </w:p>
    <w:p>
      <w:pPr>
        <w:spacing w:after="0" w:line="480"/>
      </w:pPr>
      <w:r>
        <w:rPr>
          <w:rFonts w:ascii="Times New Roman" w:cs="Times New Roman" w:eastAsia="Times New Roman" w:hAnsi="Times New Roman"/>
          <w:sz w:val="24"/>
          <w:szCs w:val="24"/>
        </w:rPr>
        <w:t xml:space="preserve">Methods: We conducted a retrospective matched cohort study using electronic health records from Mayo Clinic. Adolescents and adults with IIH (aged 13-59 years), identified by an IIH diagnosis code and lumbar puncture, were matched to up to four comparators without IIH on sex, age, body mass index (BMI), and BMI calendar year. Comparators inherited the index date of their matched case. After a 180-day washout to exclude prevalent seizure or epilepsy diagnoses and chronic antiseizure medication use, the primary outcome was a clinically recognized seizure or epilepsy event identified by diagnosis code or sustained antiseizure medication use. Hazard ratios (HRs) were estimated with Cox regression using robust variance clustered by matched set. We evaluated differential detection using negative-control outcomes, empirical calibration, adjustment for pre-index healthcare contact, post-index surveillance rates, and E-values.</w:t>
      </w:r>
    </w:p>
    <w:p>
      <w:pPr>
        <w:spacing w:after="120"/>
      </w:pPr>
    </w:p>
    <w:p>
      <w:pPr>
        <w:spacing w:after="0" w:line="480"/>
      </w:pPr>
      <w:r>
        <w:rPr>
          <w:rFonts w:ascii="Times New Roman" w:cs="Times New Roman" w:eastAsia="Times New Roman" w:hAnsi="Times New Roman"/>
          <w:sz w:val="24"/>
          <w:szCs w:val="24"/>
        </w:rPr>
        <w:t xml:space="preserve">Results: The analytic cohort included 2,138 patients with IIH and 5,743 comparators, contributing 13,938 person-years of follow-up. Incident seizure or epilepsy occurred at 14.46 versus 6.72 events per 1,000 person-years (HR 2.28, 95% confidence interval [CI] 1.62--3.22). Three-year cumulative incidence was 3.83% versus 1.71%. The HR was 2.30 (95% CI 1.35--3.92) when restricted to epilepsy-specific codes and 1.93 (95% CI 1.34--2.77) when the medication criterion was removed. Estimates remained similar in landmark analyses and after adjustment for obstructive sleep apnea, hypertension, and polycystic ovary syndrome. Healthcare contact was substantially greater among patients with IIH, and all 11 negative-control outcomes were more prevalent at baseline. Adjustment for pre-index healthcare contact moved negative-control estimates toward the null but did not attenuate the seizure association. Empirical calibration estimated a detection-attributable HR of 1.04, although its interval was wide and included the observed estimate.</w:t>
      </w:r>
    </w:p>
    <w:p>
      <w:pPr>
        <w:spacing w:after="120"/>
      </w:pPr>
    </w:p>
    <w:p>
      <w:pPr>
        <w:spacing w:after="0" w:line="480"/>
      </w:pPr>
      <w:r>
        <w:rPr>
          <w:rFonts w:ascii="Times New Roman" w:cs="Times New Roman" w:eastAsia="Times New Roman" w:hAnsi="Times New Roman"/>
          <w:sz w:val="24"/>
          <w:szCs w:val="24"/>
        </w:rPr>
        <w:t xml:space="preserve">Significance: In this electronic health record cohort, IIH was associated with approximately twice the rate of incident seizure or epilepsy, although the absolute excess was modest. Differential surveillance was present and could not be excluded as a partial contributor, but several analyses argue against it explaining the association in full. The findings support further study of seizure phenotypes and potential structural mechanisms, particularly skull-base encephaloceles, in patients with IIH.</w:t>
      </w:r>
    </w:p>
    <w:p>
      <w:pPr>
        <w:spacing w:after="120"/>
      </w:pPr>
    </w:p>
    <w:p>
      <w:pPr>
        <w:spacing w:after="0" w:line="480"/>
      </w:pPr>
      <w:r>
        <w:rPr>
          <w:rFonts w:ascii="Times New Roman" w:cs="Times New Roman" w:eastAsia="Times New Roman" w:hAnsi="Times New Roman"/>
          <w:i/>
          <w:iCs/>
          <w:sz w:val="24"/>
          <w:szCs w:val="24"/>
        </w:rPr>
        <w:t xml:space="preserve">Keywords: idiopathic intracranial hypertension; seizures; epilepsy; cohort study; electronic health records; healthcare surveillance</w:t>
      </w:r>
    </w:p>
    <w:p>
      <w:pPr>
        <w:spacing w:after="120"/>
      </w:pPr>
    </w:p>
    <w:p>
      <w:pPr>
        <w:pStyle w:val="Heading1"/>
        <w:spacing w:after="160" w:before="260"/>
      </w:pPr>
      <w:r>
        <w:rPr>
          <w:rFonts w:ascii="Times New Roman" w:cs="Times New Roman" w:eastAsia="Times New Roman" w:hAnsi="Times New Roman"/>
          <w:b/>
          <w:bCs/>
          <w:sz w:val="26"/>
          <w:szCs w:val="26"/>
        </w:rPr>
        <w:t xml:space="preserve">KEY POINTS</w:t>
      </w:r>
    </w:p>
    <w:p>
      <w:pPr>
        <w:spacing w:after="90" w:line="360"/>
        <w:ind w:left="360" w:hanging="220"/>
      </w:pPr>
      <w:r>
        <w:rPr>
          <w:rFonts w:ascii="Times New Roman" w:cs="Times New Roman" w:eastAsia="Times New Roman" w:hAnsi="Times New Roman"/>
          <w:sz w:val="24"/>
          <w:szCs w:val="24"/>
        </w:rPr>
        <w:t xml:space="preserve">•  Patients with IIH had approximately twice the rate of incident seizure</w:t>
      </w:r>
    </w:p>
    <w:p>
      <w:pPr>
        <w:spacing w:after="0" w:line="480"/>
      </w:pPr>
      <w:r>
        <w:rPr>
          <w:rFonts w:ascii="Times New Roman" w:cs="Times New Roman" w:eastAsia="Times New Roman" w:hAnsi="Times New Roman"/>
          <w:sz w:val="24"/>
          <w:szCs w:val="24"/>
        </w:rPr>
        <w:t xml:space="preserve">or epilepsy as matched comparators.</w:t>
      </w:r>
    </w:p>
    <w:p>
      <w:pPr>
        <w:spacing w:after="120"/>
      </w:pPr>
    </w:p>
    <w:p>
      <w:pPr>
        <w:spacing w:after="90" w:line="360"/>
        <w:ind w:left="360" w:hanging="220"/>
      </w:pPr>
      <w:r>
        <w:rPr>
          <w:rFonts w:ascii="Times New Roman" w:cs="Times New Roman" w:eastAsia="Times New Roman" w:hAnsi="Times New Roman"/>
          <w:sz w:val="24"/>
          <w:szCs w:val="24"/>
        </w:rPr>
        <w:t xml:space="preserve">•  The absolute excess was modest: 3-year cumulative incidence was 3.83%</w:t>
      </w:r>
    </w:p>
    <w:p>
      <w:pPr>
        <w:spacing w:after="0" w:line="480"/>
      </w:pPr>
      <w:r>
        <w:rPr>
          <w:rFonts w:ascii="Times New Roman" w:cs="Times New Roman" w:eastAsia="Times New Roman" w:hAnsi="Times New Roman"/>
          <w:sz w:val="24"/>
          <w:szCs w:val="24"/>
        </w:rPr>
        <w:t xml:space="preserve">with IIH and 1.71% without it.</w:t>
      </w:r>
    </w:p>
    <w:p>
      <w:pPr>
        <w:spacing w:after="120"/>
      </w:pPr>
    </w:p>
    <w:p>
      <w:pPr>
        <w:spacing w:after="90" w:line="360"/>
        <w:ind w:left="360" w:hanging="220"/>
      </w:pPr>
      <w:r>
        <w:rPr>
          <w:rFonts w:ascii="Times New Roman" w:cs="Times New Roman" w:eastAsia="Times New Roman" w:hAnsi="Times New Roman"/>
          <w:sz w:val="24"/>
          <w:szCs w:val="24"/>
        </w:rPr>
        <w:t xml:space="preserve">•  Healthcare contact was substantially greater among patients with IIH,</w:t>
      </w:r>
    </w:p>
    <w:p>
      <w:pPr>
        <w:spacing w:after="0" w:line="480"/>
      </w:pPr>
      <w:r>
        <w:rPr>
          <w:rFonts w:ascii="Times New Roman" w:cs="Times New Roman" w:eastAsia="Times New Roman" w:hAnsi="Times New Roman"/>
          <w:sz w:val="24"/>
          <w:szCs w:val="24"/>
        </w:rPr>
        <w:t xml:space="preserve">demonstrating an important risk of differential ascertainment.</w:t>
      </w:r>
    </w:p>
    <w:p>
      <w:pPr>
        <w:spacing w:after="120"/>
      </w:pPr>
    </w:p>
    <w:p>
      <w:pPr>
        <w:spacing w:after="90" w:line="360"/>
        <w:ind w:left="360" w:hanging="220"/>
      </w:pPr>
      <w:r>
        <w:rPr>
          <w:rFonts w:ascii="Times New Roman" w:cs="Times New Roman" w:eastAsia="Times New Roman" w:hAnsi="Times New Roman"/>
          <w:sz w:val="24"/>
          <w:szCs w:val="24"/>
        </w:rPr>
        <w:t xml:space="preserve">•  The association persisted across every outcome definition, cohort restriction,</w:t>
      </w:r>
    </w:p>
    <w:p>
      <w:pPr>
        <w:spacing w:after="0" w:line="480"/>
      </w:pPr>
      <w:r>
        <w:rPr>
          <w:rFonts w:ascii="Times New Roman" w:cs="Times New Roman" w:eastAsia="Times New Roman" w:hAnsi="Times New Roman"/>
          <w:sz w:val="24"/>
          <w:szCs w:val="24"/>
        </w:rPr>
        <w:t xml:space="preserve">landmark and analytic model (range 1.93-2.79).</w:t>
      </w:r>
    </w:p>
    <w:p>
      <w:pPr>
        <w:spacing w:after="120"/>
      </w:pPr>
    </w:p>
    <w:p>
      <w:pPr>
        <w:spacing w:after="90" w:line="360"/>
        <w:ind w:left="360" w:hanging="220"/>
      </w:pPr>
      <w:r>
        <w:rPr>
          <w:rFonts w:ascii="Times New Roman" w:cs="Times New Roman" w:eastAsia="Times New Roman" w:hAnsi="Times New Roman"/>
          <w:sz w:val="24"/>
          <w:szCs w:val="24"/>
        </w:rPr>
        <w:t xml:space="preserve">•  Adjustment for pre-index healthcare contact moved all 66 negative-control</w:t>
      </w:r>
    </w:p>
    <w:p>
      <w:pPr>
        <w:spacing w:after="0" w:line="480"/>
      </w:pPr>
      <w:r>
        <w:rPr>
          <w:rFonts w:ascii="Times New Roman" w:cs="Times New Roman" w:eastAsia="Times New Roman" w:hAnsi="Times New Roman"/>
          <w:sz w:val="24"/>
          <w:szCs w:val="24"/>
        </w:rPr>
        <w:t xml:space="preserve">estimates toward the null, while the seizure estimate moved away from it under all six measures.</w:t>
      </w:r>
    </w:p>
    <w:p>
      <w:pPr>
        <w:spacing w:after="120"/>
      </w:pPr>
    </w:p>
    <w:p>
      <w:pPr>
        <w:spacing w:after="90" w:line="360"/>
        <w:ind w:left="360" w:hanging="220"/>
      </w:pPr>
      <w:r>
        <w:rPr>
          <w:rFonts w:ascii="Times New Roman" w:cs="Times New Roman" w:eastAsia="Times New Roman" w:hAnsi="Times New Roman"/>
          <w:sz w:val="24"/>
          <w:szCs w:val="24"/>
        </w:rPr>
        <w:t xml:space="preserve">•  Empirical calibration did not exclude detection bias: its interval for a</w:t>
      </w:r>
    </w:p>
    <w:p>
      <w:pPr>
        <w:spacing w:after="0" w:line="480"/>
      </w:pPr>
      <w:r>
        <w:rPr>
          <w:rFonts w:ascii="Times New Roman" w:cs="Times New Roman" w:eastAsia="Times New Roman" w:hAnsi="Times New Roman"/>
          <w:sz w:val="24"/>
          <w:szCs w:val="24"/>
        </w:rPr>
        <w:t xml:space="preserve">detection-only effect included the observed estimate.</w:t>
      </w:r>
    </w:p>
    <w:p>
      <w:pPr>
        <w:spacing w:after="120"/>
      </w:pPr>
    </w:p>
    <w:p>
      <w:pPr>
        <w:spacing w:after="90" w:line="360"/>
        <w:ind w:left="360" w:hanging="220"/>
      </w:pPr>
      <w:r>
        <w:rPr>
          <w:rFonts w:ascii="Times New Roman" w:cs="Times New Roman" w:eastAsia="Times New Roman" w:hAnsi="Times New Roman"/>
          <w:sz w:val="24"/>
          <w:szCs w:val="24"/>
        </w:rPr>
        <w:t xml:space="preserve">•  Future studies should characterize seizure phenotype and skull-base</w:t>
      </w:r>
    </w:p>
    <w:p>
      <w:pPr>
        <w:spacing w:after="0" w:line="480"/>
      </w:pPr>
      <w:r>
        <w:rPr>
          <w:rFonts w:ascii="Times New Roman" w:cs="Times New Roman" w:eastAsia="Times New Roman" w:hAnsi="Times New Roman"/>
          <w:sz w:val="24"/>
          <w:szCs w:val="24"/>
        </w:rPr>
        <w:t xml:space="preserve">encephaloceles prospectively.</w:t>
      </w:r>
    </w:p>
    <w:p>
      <w:pPr>
        <w:spacing w:after="120"/>
      </w:pPr>
    </w:p>
    <w:p>
      <w:pPr>
        <w:spacing w:before="300"/>
      </w:pPr>
      <w:r>
        <w:rPr>
          <w:rFonts w:ascii="Times New Roman" w:cs="Times New Roman" w:eastAsia="Times New Roman" w:hAnsi="Times New Roman"/>
          <w:i/>
          <w:iCs/>
          <w:color w:val="595959"/>
          <w:sz w:val="18"/>
          <w:szCs w:val="18"/>
        </w:rPr>
        <w:t xml:space="preserve">Abstract word count (Objective through Significance): 380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creator>Selim Tarabeah</dc:creator>
  <cp:lastModifiedBy>Un-named</cp:lastModifiedBy>
  <cp:revision>1</cp:revision>
  <dcterms:created xsi:type="dcterms:W3CDTF">2026-09-25T15:52:26.315Z</dcterms:created>
  <dcterms:modified xsi:type="dcterms:W3CDTF">2026-09-25T15:52:26.315Z</dcterms:modified>
</cp:coreProperties>
</file>

<file path=docProps/custom.xml><?xml version="1.0" encoding="utf-8"?>
<Properties xmlns="http://schemas.openxmlformats.org/officeDocument/2006/custom-properties" xmlns:vt="http://schemas.openxmlformats.org/officeDocument/2006/docPropsVTypes"/>
</file>