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d1184d9ffdea81948838fdc482084ddecceec78"/>
    <w:p>
      <w:pPr>
        <w:pStyle w:val="Heading1"/>
      </w:pPr>
      <w:r>
        <w:t xml:space="preserve">Anemia at diagnosis of benign uterine disease and subsequent stroke: a retrospective cohort study</w:t>
      </w:r>
    </w:p>
    <w:p>
      <w:pPr>
        <w:pStyle w:val="FirstParagraph"/>
      </w:pPr>
      <w:r>
        <w:t xml:space="preserve">Running title: Anemia and incident stroke in benign uterine disease</w:t>
      </w:r>
    </w:p>
    <w:p>
      <w:pPr>
        <w:pStyle w:val="BodyText"/>
      </w:pPr>
      <w:r>
        <w:t xml:space="preserve">Authors: [Author names, degrees, affiliations]</w:t>
      </w:r>
    </w:p>
    <w:p>
      <w:pPr>
        <w:pStyle w:val="BodyText"/>
      </w:pPr>
      <w:r>
        <w:t xml:space="preserve">Corresponding author: [name, address, email]</w:t>
      </w:r>
    </w:p>
    <w:p>
      <w:pPr>
        <w:pStyle w:val="BodyText"/>
      </w:pPr>
      <w:r>
        <w:t xml:space="preserve">Keywords: anemia; hemoglobin; ischemic stroke; uterine fibroids; endometriosis; adenomyosis; women; cohort</w:t>
      </w:r>
    </w:p>
    <w:p>
      <w:pPr>
        <w:pStyle w:val="BodyText"/>
      </w:pPr>
      <w:r>
        <w:rPr>
          <w:iCs/>
          <w:i/>
        </w:rPr>
        <w:t xml:space="preserve">Revised draft generated by reanalysis/R/12_manuscript.R from the R outputs. Every number comes from code. [ref] marks citations to be supplied and verified; bracketed text marks information the authors must supply.</w:t>
      </w:r>
    </w:p>
    <w:bookmarkStart w:id="20" w:name="abstract"/>
    <w:p>
      <w:pPr>
        <w:pStyle w:val="Heading2"/>
      </w:pPr>
      <w:r>
        <w:t xml:space="preserve">Abstract</w:t>
      </w:r>
    </w:p>
    <w:p>
      <w:pPr>
        <w:pStyle w:val="FirstParagraph"/>
      </w:pPr>
      <w:r>
        <w:rPr>
          <w:bCs/>
          <w:b/>
        </w:rPr>
        <w:t xml:space="preserve">Background.</w:t>
      </w:r>
      <w:r>
        <w:t xml:space="preserve"> </w:t>
      </w:r>
      <w:r>
        <w:t xml:space="preserve">Anemia is common in women with uterine fibroids, adenomyosis and endometriosis, mostly because of heavy menstrual bleeding. Whether anemia identified at diagnosis is associated with later stroke in these women is not known.</w:t>
      </w:r>
    </w:p>
    <w:p>
      <w:pPr>
        <w:pStyle w:val="BodyText"/>
      </w:pPr>
      <w:r>
        <w:rPr>
          <w:bCs/>
          <w:b/>
        </w:rPr>
        <w:t xml:space="preserve">Methods.</w:t>
      </w:r>
      <w:r>
        <w:t xml:space="preserve"> </w:t>
      </w:r>
      <w:r>
        <w:t xml:space="preserve">In a retrospective electronic-health-record cohort at one US academic center, we included women aged 18–60 years with a first diagnosis of benign uterine disease in 2018–2026 who were free of recorded stroke or transient ischemic attack (TIA) at diagnosis and had a laboratory hemoglobin (Hb) in the 3 years before or on the diagnosis date. Anemia was Hb &lt;12 g/dL. The outcome was a first stroke (ischemic, hemorrhagic, cerebral venous thrombosis or unspecified) recorded after diagnosis; TIA was analyzed separately. Rate ratios (RR) were estimated by Poisson regression adjusted for demographic and vascular risk factors, uterine diagnosis, hormonal therapy and conditions that cause anemia. Secondary analyses updated Hb over time and examined exposure lags and testing frequency.</w:t>
      </w:r>
    </w:p>
    <w:p>
      <w:pPr>
        <w:pStyle w:val="BodyText"/>
      </w:pPr>
      <w:r>
        <w:rPr>
          <w:bCs/>
          <w:b/>
        </w:rPr>
        <w:t xml:space="preserve">Results.</w:t>
      </w:r>
      <w:r>
        <w:t xml:space="preserve"> </w:t>
      </w:r>
      <w:r>
        <w:t xml:space="preserve">Of 24,871 women (median follow-up 2.8 years), 5,471 (22.0%) were anemic. There were 342 incident strokes (298 ischemic). The stroke rate was 3.67 per 1,000 person-years without anemia and 5.79, 6.27 and 6.58 with mild, moderate and severe anemia. Anemia was associated with a higher stroke rate (adjusted RR 1.50 (1.18–1.91)); estimates by severity were 1.49 (1.14–1.96) (mild), 1.49 (0.96–2.31) (moderate) and 1.64 (0.79–3.40) (severe). Below 13 g/dL, each 1 g/dL lower Hb was associated with an RR of 1.14 (1.05–1.23). Results were similar for ischemic stroke (RR 1.52 (1.18–1.95)) and across sensitivity analyses (RR 1.38–1.57); TIA was not associated with anemia (RR 1.10 (0.66–1.81)). When Hb was updated over time, the association depended on Hb measured shortly before stroke and on how often women were tested: with a 30-day lag and adjustment for testing frequency the RR for moderate anemia was 1.20 (0.75–1.92). Stroke rates were similar whether anemia resolved or persisted (RR 0.93 (0.53–1.62)).</w:t>
      </w:r>
    </w:p>
    <w:p>
      <w:pPr>
        <w:pStyle w:val="BodyText"/>
      </w:pPr>
      <w:r>
        <w:rPr>
          <w:bCs/>
          <w:b/>
        </w:rPr>
        <w:t xml:space="preserve">Conclusions.</w:t>
      </w:r>
      <w:r>
        <w:t xml:space="preserve"> </w:t>
      </w:r>
      <w:r>
        <w:t xml:space="preserve">In women with benign uterine disease, anemia at diagnosis was associated with a modestly higher subsequent rate of recorded stroke, mainly ischemic stroke, without a clear gradient by severity. The pattern of findings suggests that anemia marks underlying illness, health-care contact and vascular risk rather than establishing an independent effect. Whether correcting anemia changes stroke risk cannot be addressed by these data.</w:t>
      </w:r>
    </w:p>
    <w:bookmarkEnd w:id="20"/>
    <w:bookmarkStart w:id="21" w:name="introduction"/>
    <w:p>
      <w:pPr>
        <w:pStyle w:val="Heading2"/>
      </w:pPr>
      <w:r>
        <w:t xml:space="preserve">Introduction</w:t>
      </w:r>
    </w:p>
    <w:p>
      <w:pPr>
        <w:pStyle w:val="FirstParagraph"/>
      </w:pPr>
      <w:r>
        <w:t xml:space="preserve">Stroke in women under 60 is uncommon but causes substantial disability, and a sizeable share of events in young adults are not explained by conventional vascular risk factors [ref]. Anemia has been associated with ischemic stroke in population cohorts and case–control studies [ref]. Proposed explanations include reduced oxygen delivery, a hyperdynamic circulation, reactive thrombocytosis and a hypercoagulable state, but anemia is also a common marker of chronic illness [ref].</w:t>
      </w:r>
    </w:p>
    <w:p>
      <w:pPr>
        <w:pStyle w:val="BodyText"/>
      </w:pPr>
      <w:r>
        <w:t xml:space="preserve">Women with benign uterine disease (fibroids, adenomyosis and endometriosis) are a large group with a high burden of anemia, most of it attributed to heavy menstrual bleeding [ref]. Hemoglobin is routinely measured when these conditions are diagnosed. Whether anemia at that point is associated with later stroke has not been examined. Earlier analyses of this cohort compared anemia with stroke recorded at any time; because half of those strokes preceded the gynecologic diagnosis and hemoglobin was often measured after the stroke, they could not establish the order of events. We therefore studied anemia measured before or at diagnosis and strokes recorded afterwards.</w:t>
      </w:r>
    </w:p>
    <w:bookmarkEnd w:id="21"/>
    <w:bookmarkStart w:id="27" w:name="methods"/>
    <w:p>
      <w:pPr>
        <w:pStyle w:val="Heading2"/>
      </w:pPr>
      <w:r>
        <w:t xml:space="preserve">Methods</w:t>
      </w:r>
    </w:p>
    <w:bookmarkStart w:id="22" w:name="design-setting-and-participants"/>
    <w:p>
      <w:pPr>
        <w:pStyle w:val="Heading3"/>
      </w:pPr>
      <w:r>
        <w:t xml:space="preserve">Design, setting and participants</w:t>
      </w:r>
    </w:p>
    <w:p>
      <w:pPr>
        <w:pStyle w:val="FirstParagraph"/>
      </w:pPr>
      <w:r>
        <w:t xml:space="preserve">This retrospective cohort study used electronic health records from a US academic medical center [site; IRB approval and waiver of consent to be added]. The index date was each woman’s first recorded diagnosis of uterine fibroids, adenomyosis or endometriosis (ICD-10 codes) in an extract covering 2018–2026. Of 52,827 women, we excluded 7,316 with active malignancy within 6 months of the index date, 5,473 aged over 60, 230 aged under 18 and 1 whose age could not be derived. Of the 39,807 eligible women, we further excluded 786 with a stroke or TIA recorded before or at the index encounter and 202 whose stroke could not be dated, 13,720 with no laboratory Hb in the 3 years before or on the index date, and 227 with no follow-up after the index date (Figure 1). The study is reported according to STROBE. A statistical analysis plan was written and time-stamped before analysis.</w:t>
      </w:r>
    </w:p>
    <w:bookmarkEnd w:id="22"/>
    <w:bookmarkStart w:id="23" w:name="exposure"/>
    <w:p>
      <w:pPr>
        <w:pStyle w:val="Heading3"/>
      </w:pPr>
      <w:r>
        <w:t xml:space="preserve">Exposure</w:t>
      </w:r>
    </w:p>
    <w:p>
      <w:pPr>
        <w:pStyle w:val="FirstParagraph"/>
      </w:pPr>
      <w:r>
        <w:t xml:space="preserve">Hemoglobin was taken from the laboratory results extract. We included whole-blood complete-blood-count Hb only, excluding point-of-care, blood-gas, urine and other Hb tests, implausible values (outside 3–20 g/dL) and sentinel codes; several results on one day were summarized by their median. The exposure was the most recent Hb in the 3 years up to and including the index date, so that it always preceded follow-up. Anemia was defined by the World Health Organization threshold for non-pregnant women (Hb &lt;12 g/dL) and graded as mild (10.0–11.9 g/dL), moderate (8.0–9.9) or severe (&lt;8.0); these bands follow the Common Terminology Criteria for Adverse Events and differ from the WHO severity bands. Hb was also analyzed as a continuous variable.</w:t>
      </w:r>
    </w:p>
    <w:bookmarkEnd w:id="23"/>
    <w:bookmarkStart w:id="24" w:name="outcomes"/>
    <w:p>
      <w:pPr>
        <w:pStyle w:val="Heading3"/>
      </w:pPr>
      <w:r>
        <w:t xml:space="preserve">Outcomes</w:t>
      </w:r>
    </w:p>
    <w:p>
      <w:pPr>
        <w:pStyle w:val="FirstParagraph"/>
      </w:pPr>
      <w:r>
        <w:t xml:space="preserve">Stroke and TIA were identified from diagnosis and problem-list codes, supplemented by brain-imaging reports, with the date of the earliest qualifying code. The primary outcome was a first stroke (ischemic, intracerebral or subarachnoid hemorrhage, cerebral venous thrombosis, or unspecified) dated after the index date. Each woman’s stroke type was the most specific type recorded. Secondary outcomes were ischemic stroke, TIA, stroke or TIA combined, and hemorrhagic subtypes. Follow-up ended at stroke, death, last recorded contact or 25 September 2026.</w:t>
      </w:r>
    </w:p>
    <w:bookmarkEnd w:id="24"/>
    <w:bookmarkStart w:id="25" w:name="covariates"/>
    <w:p>
      <w:pPr>
        <w:pStyle w:val="Heading3"/>
      </w:pPr>
      <w:r>
        <w:t xml:space="preserve">Covariates</w:t>
      </w:r>
    </w:p>
    <w:p>
      <w:pPr>
        <w:pStyle w:val="FirstParagraph"/>
      </w:pPr>
      <w:r>
        <w:t xml:space="preserve">Covariates were chosen from a causal diagram before analysis: age, race, body mass index (BMI), smoking (never, ever, unknown), hypertension, diabetes, dyslipidemia, coronary artery disease, migraine, hormonal therapy type, uterine diagnosis group, and conditions that cause anemia and are associated with stroke, each recorded on or before the index date (hemoglobinopathy, chronic kidney disease, chronic liver disease, alcohol use disorder, inflammatory bowel disease or HIV, malabsorption, and gastrointestinal bleeding or pregnancy in the preceding year). Heavy uterine bleeding was not adjusted for because it leads to anemia rather than confounding its association with stroke; thrombophilia, atrial fibrillation, heart failure and venous thromboembolism were not adjusted for in the primary model because they were undated and often recorded after a stroke. Both choices were tested in sensitivity analyses.</w:t>
      </w:r>
    </w:p>
    <w:bookmarkEnd w:id="25"/>
    <w:bookmarkStart w:id="26" w:name="statistical-analysis"/>
    <w:p>
      <w:pPr>
        <w:pStyle w:val="Heading3"/>
      </w:pPr>
      <w:r>
        <w:t xml:space="preserve">Statistical analysis</w:t>
      </w:r>
    </w:p>
    <w:p>
      <w:pPr>
        <w:pStyle w:val="FirstParagraph"/>
      </w:pPr>
      <w:r>
        <w:t xml:space="preserve">Rate ratios were estimated by Poisson regression with a person-time offset and robust standard errors and confirmed by Cox regression (hazard ratios; proportional hazards assessed with Schoenfeld residuals). BMI was missing for 3.5% and was multiply imputed (20 imputations); smoking status unknown was analyzed as a category. Anemia was analyzed as any versus none, by grade, as a per-grade trend, per 1 g/dL below and above 13 g/dL, and as a restricted cubic spline (4 knots; reference 13 g/dL). Cumulative incidence was estimated with death as a competing event. Pre-specified sensitivity analyses addressed early events, exposure timing and definition, outcome misdating, adjustment choices, testing frequency, confounding by anemia-causing illness, competing death and selection into testing (inverse-probability weights). E-values described the strength of unmeasured confounding needed to explain the association. In secondary analyses, Hb was updated at every measurement (carried forward up to 1 year, never effective on its own measurement day, with time without a recent value as a separate category), with 30- and 90-day lags and adjustment for the number of Hb tests in the previous year; a landmark analysis at 12 and 24 months compared anemia that resolved with anemia that persisted. Secondary outcomes are exploratory; Benjamini–Hochberg q-values are reported for their trend tests. Analyses used R 4.3.3; code is available at [repository].</w:t>
      </w:r>
    </w:p>
    <w:bookmarkEnd w:id="26"/>
    <w:bookmarkEnd w:id="27"/>
    <w:bookmarkStart w:id="34" w:name="results"/>
    <w:p>
      <w:pPr>
        <w:pStyle w:val="Heading2"/>
      </w:pPr>
      <w:r>
        <w:t xml:space="preserve">Results</w:t>
      </w:r>
    </w:p>
    <w:bookmarkStart w:id="28" w:name="participants"/>
    <w:p>
      <w:pPr>
        <w:pStyle w:val="Heading3"/>
      </w:pPr>
      <w:r>
        <w:t xml:space="preserve">Participants</w:t>
      </w:r>
    </w:p>
    <w:p>
      <w:pPr>
        <w:pStyle w:val="FirstParagraph"/>
      </w:pPr>
      <w:r>
        <w:t xml:space="preserve">The cohort comprised 24,871 women (Table 1), followed for 82,175 person-years (median 2.8 years, IQR 1.2–5.2). At baseline 5,471 (22.0%) were anemic: 4,008 mild, 1,062 moderate and 401 severe. Anemic women more often had fibroids, heavy bleeding, hemoglobinopathy and chronic kidney disease, and less often migraine. Women without a baseline Hb (excluded) had less recorded comorbidity and a lower crude stroke rate (2.94 vs 4.16 per 1,000 person-years; adjusted RR 0.85 (0.69–1.07)).</w:t>
      </w:r>
    </w:p>
    <w:bookmarkEnd w:id="28"/>
    <w:bookmarkStart w:id="29" w:name="anemia-and-incident-stroke"/>
    <w:p>
      <w:pPr>
        <w:pStyle w:val="Heading3"/>
      </w:pPr>
      <w:r>
        <w:t xml:space="preserve">Anemia and incident stroke</w:t>
      </w:r>
    </w:p>
    <w:p>
      <w:pPr>
        <w:pStyle w:val="FirstParagraph"/>
      </w:pPr>
      <w:r>
        <w:t xml:space="preserve">There were 342 incident strokes (298 ischemic, 24 intracerebral hemorrhage, 11 subarachnoid hemorrhage, 2 cerebral venous thrombosis, 7 unspecified) and 85 TIAs. The stroke rate was 3.67 (3.22–4.17) per 1,000 person-years without anemia and 5.79 (4.56–7.25), 6.27 (3.93–9.49) and 6.58 (2.84–12.96) with mild, moderate and severe anemia; 5-year cumulative incidence was 1.8%, 2.6%, 2.9% and 3.1% (Table 2, Figure S1). After adjustment, anemia was associated with a higher stroke rate (RR 1.50 (1.18–1.91); hazard ratio from the Cox model similar). By grade, RRs were 1.49 (1.14–1.96), 1.49 (0.96–2.31) and 1.64 (0.79–3.40); the per-grade trend was 1.26 (1.09–1.45). The moderate and severe estimates were based on 22 and 8 strokes. The association changed little from crude (RR 1.62 (1.29–2.04)) to fully adjusted. The E-value was 2.37 (1.64 for the confidence limit).</w:t>
      </w:r>
    </w:p>
    <w:p>
      <w:pPr>
        <w:pStyle w:val="BodyText"/>
      </w:pPr>
      <w:r>
        <w:t xml:space="preserve">Below 13 g/dL, each 1 g/dL lower Hb was associated with an RR of 1.14 (1.05–1.23); above 13 g/dL the RR was 1.02 (0.85–1.23). On the spline, RRs relative to 13 g/dL were 1.23 (1.03–1.47) at 12 g/dL, 1.52 (1.18–1.94) at 10 g/dL and 1.72 (1.16–2.56) at 8 g/dL (overall P = 0.01; non-linearity P = 0.211; Figure 2).</w:t>
      </w:r>
    </w:p>
    <w:bookmarkEnd w:id="29"/>
    <w:bookmarkStart w:id="30" w:name="secondary-outcomes"/>
    <w:p>
      <w:pPr>
        <w:pStyle w:val="Heading3"/>
      </w:pPr>
      <w:r>
        <w:t xml:space="preserve">Secondary outcomes</w:t>
      </w:r>
    </w:p>
    <w:p>
      <w:pPr>
        <w:pStyle w:val="FirstParagraph"/>
      </w:pPr>
      <w:r>
        <w:t xml:space="preserve">Anemia was associated with ischemic stroke (RR 1.52 (1.18–1.95); per grade 1.26 (1.09–1.46)) but not with TIA (RR 1.10 (0.66–1.81); per grade 0.84 (0.63–1.14); no TIA occurred in women with moderate or severe anemia). Combining TIA with stroke gave an RR of 1.44 (1.16–1.80). Hemorrhagic subtypes were too few for reliable estimates (Table 3).</w:t>
      </w:r>
    </w:p>
    <w:bookmarkEnd w:id="30"/>
    <w:bookmarkStart w:id="31" w:name="sensitivity-analyses"/>
    <w:p>
      <w:pPr>
        <w:pStyle w:val="Heading3"/>
      </w:pPr>
      <w:r>
        <w:t xml:space="preserve">Sensitivity analyses</w:t>
      </w:r>
    </w:p>
    <w:p>
      <w:pPr>
        <w:pStyle w:val="FirstParagraph"/>
      </w:pPr>
      <w:r>
        <w:t xml:space="preserve">The RR for any anemia ranged from 1.38 to 1.57 and the per-grade RR from 1.20 to 1.28 across sensitivity analyses (Table 4), including exclusion of strokes in the first 30 days (RR 1.38 (1.06–1.80)), restriction to Hb within 1 year (1.39 (1.07–1.80)), events with an acute stroke code (1.57 (1.23–2.01)), adjustment for testing frequency before diagnosis (1.45 (1.14–1.85)), exclusion of women with anemia-causing conditions (1.46 (1.08–1.97)) and weighting for selection into testing (per grade 1.24 (1.07–1.43)). The moderate-grade estimate ranged from 1.08 to 1.54 and its confidence interval included 1 in every analysis.</w:t>
      </w:r>
    </w:p>
    <w:bookmarkEnd w:id="31"/>
    <w:bookmarkStart w:id="32" w:name="X01da7e26e334aa92ae3f00e4b914bf8fdbebfc2"/>
    <w:p>
      <w:pPr>
        <w:pStyle w:val="Heading3"/>
      </w:pPr>
      <w:r>
        <w:t xml:space="preserve">Time-updated hemoglobin and persistence of anemia</w:t>
      </w:r>
    </w:p>
    <w:p>
      <w:pPr>
        <w:pStyle w:val="FirstParagraph"/>
      </w:pPr>
      <w:r>
        <w:t xml:space="preserve">With Hb updated over time (38,326 women; 119,305 person-years; 451 strokes), the RR for moderate anemia was 2.40 (1.63–3.52) without a lag. Person-time without a recent Hb had a lower stroke rate (RR 0.55 (0.44–0.69)), indicating that blood testing and stroke recording occur at the same encounters. With a 30-day lag the RR for moderate anemia was 1.56 (0.98–2.48), with a 90-day lag 1.57 (0.96–2.57), and with a 30-day lag plus adjustment for testing frequency 1.20 (0.75–1.92) (per grade 1.05 (0.87–1.27); Table 5). In the 12-month landmark analysis, stroke rates were similar whether baseline anemia had resolved or persisted (RR persistent vs resolved 0.93 (0.53–1.62); at 24 months 1.07 (0.58–1.98)).</w:t>
      </w:r>
    </w:p>
    <w:bookmarkEnd w:id="32"/>
    <w:bookmarkStart w:id="33" w:name="Xf2771e00edf3b72b35ddcfe8fbd566b60e8b287"/>
    <w:p>
      <w:pPr>
        <w:pStyle w:val="Heading3"/>
      </w:pPr>
      <w:r>
        <w:t xml:space="preserve">Comparison with the earlier cross-sectional analysis</w:t>
      </w:r>
    </w:p>
    <w:p>
      <w:pPr>
        <w:pStyle w:val="FirstParagraph"/>
      </w:pPr>
      <w:r>
        <w:t xml:space="preserve">Re-fitting the earlier analysis, which compared anemia with stroke or TIA recorded at any time, reproduced its estimates (odds ratios 1.20 (1.03–1.38), 1.77 (1.41–2.21) and 2.01 (1.38–2.91) for mild, moderate and severe anemia). That analysis included 786 strokes recorded before or at diagnosis and Hb values measured after the stroke, and its larger estimates for moderate and severe anemia were not seen when the order of events was enforced (Supplementary Table S2).</w:t>
      </w:r>
    </w:p>
    <w:bookmarkEnd w:id="33"/>
    <w:bookmarkEnd w:id="34"/>
    <w:bookmarkStart w:id="37" w:name="discussion"/>
    <w:p>
      <w:pPr>
        <w:pStyle w:val="Heading2"/>
      </w:pPr>
      <w:r>
        <w:t xml:space="preserve">Discussion</w:t>
      </w:r>
    </w:p>
    <w:p>
      <w:pPr>
        <w:pStyle w:val="FirstParagraph"/>
      </w:pPr>
      <w:r>
        <w:t xml:space="preserve">In this cohort of women with benign uterine disease, anemia at diagnosis was associated with a modestly higher rate of subsequent recorded stroke, mainly ischemic stroke. The absolute difference was small (5-year incidence 1.8% without and 2.6–3.1% with anemia). The association was consistent across sensitivity analyses addressing timing, exposure definition, outcome definition, adjustment choices and selection, but there was no clear gradient by severity, and estimates for moderate and severe anemia were imprecise.</w:t>
      </w:r>
    </w:p>
    <w:p>
      <w:pPr>
        <w:pStyle w:val="BodyText"/>
      </w:pPr>
      <w:r>
        <w:t xml:space="preserve">Several findings suggest that anemia acts mainly as a marker. First, when hemoglobin was updated over time, much of the association came from values measured shortly before a recorded stroke and from how often women were tested; time without blood tests also had fewer recorded strokes, so testing and stroke recording happen together. Second, resolution of anemia was not followed by a lower stroke rate than persistence, which would be expected if low oxygen-carrying capacity itself drove risk, although these estimates were imprecise. Third, there was no gradient across grades and no association with TIA. Anemia in these women is often due to bleeding, but it also accompanies chronic kidney, liver, inflammatory and hematologic disease, and women with anemia have more contact with health services, which increases the chance that both anemia and stroke are recorded [ref]. Adjustment for, and exclusion of, recorded anemia-causing conditions did not remove the association, but undiagnosed illness and differences in care-seeking may remain; the E-value indicates that a modest unmeasured confounder could explain the lower confidence limit.</w:t>
      </w:r>
    </w:p>
    <w:p>
      <w:pPr>
        <w:pStyle w:val="BodyText"/>
      </w:pPr>
      <w:r>
        <w:t xml:space="preserve">These findings temper earlier analyses of this cohort that reported larger odds ratios for moderate and severe anemia. Those analyses compared anemia with stroke recorded at any time, half of which preceded the gynecologic diagnosis, and often used hemoglobin measured after the stroke; acute illness and hospital care lower hemoglobin [ref], so that design overstates the association with severe anemia.</w:t>
      </w:r>
    </w:p>
    <w:p>
      <w:pPr>
        <w:pStyle w:val="BodyText"/>
      </w:pPr>
      <w:r>
        <w:t xml:space="preserve">Clinically, anemia found at gynecologic diagnosis may prompt attention to its cause and to conventional vascular risk factors, as it would in any patient. These data do not support stroke screening based on hemoglobin, and they cannot show whether treating anemia changes stroke risk.</w:t>
      </w:r>
    </w:p>
    <w:bookmarkStart w:id="35" w:name="strengths-and-limitations"/>
    <w:p>
      <w:pPr>
        <w:pStyle w:val="Heading3"/>
      </w:pPr>
      <w:r>
        <w:t xml:space="preserve">Strengths and limitations</w:t>
      </w:r>
    </w:p>
    <w:p>
      <w:pPr>
        <w:pStyle w:val="FirstParagraph"/>
      </w:pPr>
      <w:r>
        <w:t xml:space="preserve">Strengths include a large cohort, a pre-specified analysis plan, laboratory values re-derived from raw dated results, dated comorbidities, a design in which exposure preceded the outcome, and extensive sensitivity analyses. Limitations are important. The study was conducted at a single center. Strokes were identified from codes and imaging reports and dated by the earliest code, not by chart review; 23 incident events rested on sequela codes or imaging alone (restricting to acute-coded events did not change the results). Women without a baseline Hb (35% of those free of stroke) differed from tested women, and their outcomes were also less completely recorded. Smoking status was unknown for 0.0% of women. Several conditions (thrombophilia, atrial fibrillation, heart failure, venous thromboembolism, migraine) and hormonal therapy were not reliably dated. Admission records, transfusions and outpatient iron prescriptions were not available. Severe anemia and hemorrhagic stroke were uncommon. The index date is the first diagnosis within records beginning in 2018.</w:t>
      </w:r>
    </w:p>
    <w:bookmarkEnd w:id="35"/>
    <w:bookmarkStart w:id="36" w:name="conclusions"/>
    <w:p>
      <w:pPr>
        <w:pStyle w:val="Heading3"/>
      </w:pPr>
      <w:r>
        <w:t xml:space="preserve">Conclusions</w:t>
      </w:r>
    </w:p>
    <w:p>
      <w:pPr>
        <w:pStyle w:val="FirstParagraph"/>
      </w:pPr>
      <w:r>
        <w:t xml:space="preserve">Anemia at diagnosis of benign uterine disease was associated with a modestly higher subsequent rate of recorded stroke, mainly ischemic stroke, without a clear severity gradient. The pattern suggests that anemia is a marker of underlying illness and health-care contact. Prospective studies with verified outcomes would be needed to determine whether anemia or its causes contribute to stroke risk in this population.</w:t>
      </w:r>
    </w:p>
    <w:p>
      <w:pPr>
        <w:pStyle w:val="BodyText"/>
      </w:pPr>
      <w:r>
        <w:t xml:space="preserve">Acknowledgements, funding, disclosures: [to be completed]. Data availability: [statement]; analysis code: [repository].</w:t>
      </w:r>
    </w:p>
    <w:p>
      <w:pPr>
        <w:pStyle w:val="BodyText"/>
      </w:pPr>
      <w:r>
        <w:rPr>
          <w:bCs/>
          <w:b/>
        </w:rPr>
        <w:t xml:space="preserve">Table 1. Baseline characteristics by anemia grade (incident-stroke cohort)</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Characteristic</w:t>
            </w:r>
          </w:p>
        </w:tc>
        <w:tc>
          <w:tcPr/>
          <w:p>
            <w:pPr>
              <w:pStyle w:val="Compact"/>
              <w:jc w:val="left"/>
            </w:pPr>
            <w:r>
              <w:t xml:space="preserve">Level</w:t>
            </w:r>
          </w:p>
        </w:tc>
        <w:tc>
          <w:tcPr/>
          <w:p>
            <w:pPr>
              <w:pStyle w:val="Compact"/>
              <w:jc w:val="left"/>
            </w:pPr>
            <w:r>
              <w:t xml:space="preserve">All</w:t>
            </w:r>
          </w:p>
        </w:tc>
        <w:tc>
          <w:tcPr/>
          <w:p>
            <w:pPr>
              <w:pStyle w:val="Compact"/>
              <w:jc w:val="left"/>
            </w:pPr>
            <w:r>
              <w:t xml:space="preserve">No anemia (Hb ≥12)</w:t>
            </w:r>
          </w:p>
        </w:tc>
        <w:tc>
          <w:tcPr/>
          <w:p>
            <w:pPr>
              <w:pStyle w:val="Compact"/>
              <w:jc w:val="left"/>
            </w:pPr>
            <w:r>
              <w:t xml:space="preserve">Mild (10.0–11.9)</w:t>
            </w:r>
          </w:p>
        </w:tc>
        <w:tc>
          <w:tcPr/>
          <w:p>
            <w:pPr>
              <w:pStyle w:val="Compact"/>
              <w:jc w:val="left"/>
            </w:pPr>
            <w:r>
              <w:t xml:space="preserve">Moderate (8.0–9.9)</w:t>
            </w:r>
          </w:p>
        </w:tc>
        <w:tc>
          <w:tcPr/>
          <w:p>
            <w:pPr>
              <w:pStyle w:val="Compact"/>
              <w:jc w:val="left"/>
            </w:pPr>
            <w:r>
              <w:t xml:space="preserve">Severe (&lt;8.0)</w:t>
            </w:r>
          </w:p>
        </w:tc>
        <w:tc>
          <w:tcPr/>
          <w:p>
            <w:pPr>
              <w:pStyle w:val="Compact"/>
              <w:jc w:val="left"/>
            </w:pPr>
            <w:r>
              <w:t xml:space="preserve">P</w:t>
            </w:r>
          </w:p>
        </w:tc>
      </w:tr>
      <w:tr>
        <w:tc>
          <w:tcPr/>
          <w:p>
            <w:pPr>
              <w:pStyle w:val="Compact"/>
              <w:jc w:val="left"/>
            </w:pPr>
            <w:r>
              <w:t xml:space="preserve">Age at index, years</w:t>
            </w:r>
          </w:p>
        </w:tc>
        <w:tc>
          <w:tcPr/>
          <w:p>
            <w:pPr>
              <w:pStyle w:val="Compact"/>
              <w:jc w:val="left"/>
            </w:pPr>
            <w:r>
              <w:t xml:space="preserve">median (IQR)</w:t>
            </w:r>
          </w:p>
        </w:tc>
        <w:tc>
          <w:tcPr/>
          <w:p>
            <w:pPr>
              <w:pStyle w:val="Compact"/>
              <w:jc w:val="left"/>
            </w:pPr>
            <w:r>
              <w:t xml:space="preserve">42.0 (34.0–48.0)</w:t>
            </w:r>
          </w:p>
        </w:tc>
        <w:tc>
          <w:tcPr/>
          <w:p>
            <w:pPr>
              <w:pStyle w:val="Compact"/>
              <w:jc w:val="left"/>
            </w:pPr>
            <w:r>
              <w:t xml:space="preserve">42.0 (34.0–48.0)</w:t>
            </w:r>
          </w:p>
        </w:tc>
        <w:tc>
          <w:tcPr/>
          <w:p>
            <w:pPr>
              <w:pStyle w:val="Compact"/>
              <w:jc w:val="left"/>
            </w:pPr>
            <w:r>
              <w:t xml:space="preserve">42.0 (35.0–48.0)</w:t>
            </w:r>
          </w:p>
        </w:tc>
        <w:tc>
          <w:tcPr/>
          <w:p>
            <w:pPr>
              <w:pStyle w:val="Compact"/>
              <w:jc w:val="left"/>
            </w:pPr>
            <w:r>
              <w:t xml:space="preserve">43.0 (37.0–48.0)</w:t>
            </w:r>
          </w:p>
        </w:tc>
        <w:tc>
          <w:tcPr/>
          <w:p>
            <w:pPr>
              <w:pStyle w:val="Compact"/>
              <w:jc w:val="left"/>
            </w:pPr>
            <w:r>
              <w:t xml:space="preserve">44.0 (38.0–48.0)</w:t>
            </w:r>
          </w:p>
        </w:tc>
        <w:tc>
          <w:tcPr/>
          <w:p>
            <w:pPr>
              <w:pStyle w:val="Compact"/>
              <w:jc w:val="left"/>
            </w:pPr>
            <w:r>
              <w:t xml:space="preserve">&lt;0.001</w:t>
            </w:r>
          </w:p>
        </w:tc>
      </w:tr>
      <w:tr>
        <w:tc>
          <w:tcPr/>
          <w:p>
            <w:pPr>
              <w:pStyle w:val="Compact"/>
              <w:jc w:val="left"/>
            </w:pPr>
            <w:r>
              <w:t xml:space="preserve">Race</w:t>
            </w:r>
          </w:p>
        </w:tc>
        <w:tc>
          <w:tcPr/>
          <w:p>
            <w:pPr>
              <w:pStyle w:val="Compact"/>
              <w:jc w:val="left"/>
            </w:pPr>
            <w:r>
              <w:t xml:space="preserve">White</w:t>
            </w:r>
          </w:p>
        </w:tc>
        <w:tc>
          <w:tcPr/>
          <w:p>
            <w:pPr>
              <w:pStyle w:val="Compact"/>
              <w:jc w:val="left"/>
            </w:pPr>
            <w:r>
              <w:t xml:space="preserve">19,666 (79.1%)</w:t>
            </w:r>
          </w:p>
        </w:tc>
        <w:tc>
          <w:tcPr/>
          <w:p>
            <w:pPr>
              <w:pStyle w:val="Compact"/>
              <w:jc w:val="left"/>
            </w:pPr>
            <w:r>
              <w:t xml:space="preserve">15,413 (79.4%)</w:t>
            </w:r>
          </w:p>
        </w:tc>
        <w:tc>
          <w:tcPr/>
          <w:p>
            <w:pPr>
              <w:pStyle w:val="Compact"/>
              <w:jc w:val="left"/>
            </w:pPr>
            <w:r>
              <w:t xml:space="preserve">3,114 (77.7%)</w:t>
            </w:r>
          </w:p>
        </w:tc>
        <w:tc>
          <w:tcPr/>
          <w:p>
            <w:pPr>
              <w:pStyle w:val="Compact"/>
              <w:jc w:val="left"/>
            </w:pPr>
            <w:r>
              <w:t xml:space="preserve">831 (78.2%)</w:t>
            </w:r>
          </w:p>
        </w:tc>
        <w:tc>
          <w:tcPr/>
          <w:p>
            <w:pPr>
              <w:pStyle w:val="Compact"/>
              <w:jc w:val="left"/>
            </w:pPr>
            <w:r>
              <w:t xml:space="preserve">308 (76.8%)</w:t>
            </w:r>
          </w:p>
        </w:tc>
        <w:tc>
          <w:tcPr/>
          <w:p>
            <w:pPr>
              <w:pStyle w:val="Compact"/>
              <w:jc w:val="left"/>
            </w:pPr>
            <w:r>
              <w:t xml:space="preserve">0.088</w:t>
            </w:r>
          </w:p>
        </w:tc>
      </w:tr>
      <w:tr>
        <w:tc>
          <w:tcPr/>
          <w:p>
            <w:pPr>
              <w:pStyle w:val="Compact"/>
              <w:jc w:val="left"/>
            </w:pPr>
            <w:r>
              <w:t xml:space="preserve">Race</w:t>
            </w:r>
          </w:p>
        </w:tc>
        <w:tc>
          <w:tcPr/>
          <w:p>
            <w:pPr>
              <w:pStyle w:val="Compact"/>
              <w:jc w:val="left"/>
            </w:pPr>
            <w:r>
              <w:t xml:space="preserve">Black</w:t>
            </w:r>
          </w:p>
        </w:tc>
        <w:tc>
          <w:tcPr/>
          <w:p>
            <w:pPr>
              <w:pStyle w:val="Compact"/>
              <w:jc w:val="left"/>
            </w:pPr>
            <w:r>
              <w:t xml:space="preserve">2,279 (9.2%)</w:t>
            </w:r>
          </w:p>
        </w:tc>
        <w:tc>
          <w:tcPr/>
          <w:p>
            <w:pPr>
              <w:pStyle w:val="Compact"/>
              <w:jc w:val="left"/>
            </w:pPr>
            <w:r>
              <w:t xml:space="preserve">1,709 (8.8%)</w:t>
            </w:r>
          </w:p>
        </w:tc>
        <w:tc>
          <w:tcPr/>
          <w:p>
            <w:pPr>
              <w:pStyle w:val="Compact"/>
              <w:jc w:val="left"/>
            </w:pPr>
            <w:r>
              <w:t xml:space="preserve">416 (10.4%)</w:t>
            </w:r>
          </w:p>
        </w:tc>
        <w:tc>
          <w:tcPr/>
          <w:p>
            <w:pPr>
              <w:pStyle w:val="Compact"/>
              <w:jc w:val="left"/>
            </w:pPr>
            <w:r>
              <w:t xml:space="preserve">110 (10.4%)</w:t>
            </w:r>
          </w:p>
        </w:tc>
        <w:tc>
          <w:tcPr/>
          <w:p>
            <w:pPr>
              <w:pStyle w:val="Compact"/>
              <w:jc w:val="left"/>
            </w:pPr>
            <w:r>
              <w:t xml:space="preserve">44 (11.0%)</w:t>
            </w:r>
          </w:p>
        </w:tc>
        <w:tc>
          <w:tcPr/>
          <w:p>
            <w:pPr>
              <w:pStyle w:val="Compact"/>
            </w:pPr>
          </w:p>
        </w:tc>
      </w:tr>
      <w:tr>
        <w:tc>
          <w:tcPr/>
          <w:p>
            <w:pPr>
              <w:pStyle w:val="Compact"/>
              <w:jc w:val="left"/>
            </w:pPr>
            <w:r>
              <w:t xml:space="preserve">Race</w:t>
            </w:r>
          </w:p>
        </w:tc>
        <w:tc>
          <w:tcPr/>
          <w:p>
            <w:pPr>
              <w:pStyle w:val="Compact"/>
              <w:jc w:val="left"/>
            </w:pPr>
            <w:r>
              <w:t xml:space="preserve">Asian</w:t>
            </w:r>
          </w:p>
        </w:tc>
        <w:tc>
          <w:tcPr/>
          <w:p>
            <w:pPr>
              <w:pStyle w:val="Compact"/>
              <w:jc w:val="left"/>
            </w:pPr>
            <w:r>
              <w:t xml:space="preserve">1,314 (5.3%)</w:t>
            </w:r>
          </w:p>
        </w:tc>
        <w:tc>
          <w:tcPr/>
          <w:p>
            <w:pPr>
              <w:pStyle w:val="Compact"/>
              <w:jc w:val="left"/>
            </w:pPr>
            <w:r>
              <w:t xml:space="preserve">1,016 (5.2%)</w:t>
            </w:r>
          </w:p>
        </w:tc>
        <w:tc>
          <w:tcPr/>
          <w:p>
            <w:pPr>
              <w:pStyle w:val="Compact"/>
              <w:jc w:val="left"/>
            </w:pPr>
            <w:r>
              <w:t xml:space="preserve">223 (5.6%)</w:t>
            </w:r>
          </w:p>
        </w:tc>
        <w:tc>
          <w:tcPr/>
          <w:p>
            <w:pPr>
              <w:pStyle w:val="Compact"/>
              <w:jc w:val="left"/>
            </w:pPr>
            <w:r>
              <w:t xml:space="preserve">52 (4.9%)</w:t>
            </w:r>
          </w:p>
        </w:tc>
        <w:tc>
          <w:tcPr/>
          <w:p>
            <w:pPr>
              <w:pStyle w:val="Compact"/>
              <w:jc w:val="left"/>
            </w:pPr>
            <w:r>
              <w:t xml:space="preserve">23 (5.7%)</w:t>
            </w:r>
          </w:p>
        </w:tc>
        <w:tc>
          <w:tcPr/>
          <w:p>
            <w:pPr>
              <w:pStyle w:val="Compact"/>
            </w:pPr>
          </w:p>
        </w:tc>
      </w:tr>
      <w:tr>
        <w:tc>
          <w:tcPr/>
          <w:p>
            <w:pPr>
              <w:pStyle w:val="Compact"/>
              <w:jc w:val="left"/>
            </w:pPr>
            <w:r>
              <w:t xml:space="preserve">Race</w:t>
            </w:r>
          </w:p>
        </w:tc>
        <w:tc>
          <w:tcPr/>
          <w:p>
            <w:pPr>
              <w:pStyle w:val="Compact"/>
              <w:jc w:val="left"/>
            </w:pPr>
            <w:r>
              <w:t xml:space="preserve">Other/unknown</w:t>
            </w:r>
          </w:p>
        </w:tc>
        <w:tc>
          <w:tcPr/>
          <w:p>
            <w:pPr>
              <w:pStyle w:val="Compact"/>
              <w:jc w:val="left"/>
            </w:pPr>
            <w:r>
              <w:t xml:space="preserve">1,613 (6.5%)</w:t>
            </w:r>
          </w:p>
        </w:tc>
        <w:tc>
          <w:tcPr/>
          <w:p>
            <w:pPr>
              <w:pStyle w:val="Compact"/>
              <w:jc w:val="left"/>
            </w:pPr>
            <w:r>
              <w:t xml:space="preserve">1,263 (6.5%)</w:t>
            </w:r>
          </w:p>
        </w:tc>
        <w:tc>
          <w:tcPr/>
          <w:p>
            <w:pPr>
              <w:pStyle w:val="Compact"/>
              <w:jc w:val="left"/>
            </w:pPr>
            <w:r>
              <w:t xml:space="preserve">255 (6.4%)</w:t>
            </w:r>
          </w:p>
        </w:tc>
        <w:tc>
          <w:tcPr/>
          <w:p>
            <w:pPr>
              <w:pStyle w:val="Compact"/>
              <w:jc w:val="left"/>
            </w:pPr>
            <w:r>
              <w:t xml:space="preserve">69 (6.5%)</w:t>
            </w:r>
          </w:p>
        </w:tc>
        <w:tc>
          <w:tcPr/>
          <w:p>
            <w:pPr>
              <w:pStyle w:val="Compact"/>
              <w:jc w:val="left"/>
            </w:pPr>
            <w:r>
              <w:t xml:space="preserve">26 (6.5%)</w:t>
            </w:r>
          </w:p>
        </w:tc>
        <w:tc>
          <w:tcPr/>
          <w:p>
            <w:pPr>
              <w:pStyle w:val="Compact"/>
            </w:pPr>
          </w:p>
        </w:tc>
      </w:tr>
      <w:tr>
        <w:tc>
          <w:tcPr/>
          <w:p>
            <w:pPr>
              <w:pStyle w:val="Compact"/>
              <w:jc w:val="left"/>
            </w:pPr>
            <w:r>
              <w:t xml:space="preserve">BMI, kg/m²</w:t>
            </w:r>
          </w:p>
        </w:tc>
        <w:tc>
          <w:tcPr/>
          <w:p>
            <w:pPr>
              <w:pStyle w:val="Compact"/>
              <w:jc w:val="left"/>
            </w:pPr>
            <w:r>
              <w:t xml:space="preserve">median (IQR)</w:t>
            </w:r>
          </w:p>
        </w:tc>
        <w:tc>
          <w:tcPr/>
          <w:p>
            <w:pPr>
              <w:pStyle w:val="Compact"/>
              <w:jc w:val="left"/>
            </w:pPr>
            <w:r>
              <w:t xml:space="preserve">28.2 (23.9–33.8)</w:t>
            </w:r>
          </w:p>
        </w:tc>
        <w:tc>
          <w:tcPr/>
          <w:p>
            <w:pPr>
              <w:pStyle w:val="Compact"/>
              <w:jc w:val="left"/>
            </w:pPr>
            <w:r>
              <w:t xml:space="preserve">28.0 (23.8–33.5)</w:t>
            </w:r>
          </w:p>
        </w:tc>
        <w:tc>
          <w:tcPr/>
          <w:p>
            <w:pPr>
              <w:pStyle w:val="Compact"/>
              <w:jc w:val="left"/>
            </w:pPr>
            <w:r>
              <w:t xml:space="preserve">28.8 (24.4–34.9)</w:t>
            </w:r>
          </w:p>
        </w:tc>
        <w:tc>
          <w:tcPr/>
          <w:p>
            <w:pPr>
              <w:pStyle w:val="Compact"/>
              <w:jc w:val="left"/>
            </w:pPr>
            <w:r>
              <w:t xml:space="preserve">29.3 (24.9–34.8)</w:t>
            </w:r>
          </w:p>
        </w:tc>
        <w:tc>
          <w:tcPr/>
          <w:p>
            <w:pPr>
              <w:pStyle w:val="Compact"/>
              <w:jc w:val="left"/>
            </w:pPr>
            <w:r>
              <w:t xml:space="preserve">29.7 (25.1–34.5)</w:t>
            </w:r>
          </w:p>
        </w:tc>
        <w:tc>
          <w:tcPr/>
          <w:p>
            <w:pPr>
              <w:pStyle w:val="Compact"/>
              <w:jc w:val="left"/>
            </w:pPr>
            <w:r>
              <w:t xml:space="preserve">&lt;0.001</w:t>
            </w:r>
          </w:p>
        </w:tc>
      </w:tr>
      <w:tr>
        <w:tc>
          <w:tcPr/>
          <w:p>
            <w:pPr>
              <w:pStyle w:val="Compact"/>
              <w:jc w:val="left"/>
            </w:pPr>
            <w:r>
              <w:t xml:space="preserve">BMI, kg/m²</w:t>
            </w:r>
          </w:p>
        </w:tc>
        <w:tc>
          <w:tcPr/>
          <w:p>
            <w:pPr>
              <w:pStyle w:val="Compact"/>
              <w:jc w:val="left"/>
            </w:pPr>
            <w:r>
              <w:t xml:space="preserve">missing</w:t>
            </w:r>
          </w:p>
        </w:tc>
        <w:tc>
          <w:tcPr/>
          <w:p>
            <w:pPr>
              <w:pStyle w:val="Compact"/>
              <w:jc w:val="left"/>
            </w:pPr>
            <w:r>
              <w:t xml:space="preserve">880 (3.5%)</w:t>
            </w:r>
          </w:p>
        </w:tc>
        <w:tc>
          <w:tcPr/>
          <w:p>
            <w:pPr>
              <w:pStyle w:val="Compact"/>
              <w:jc w:val="left"/>
            </w:pPr>
            <w:r>
              <w:t xml:space="preserve">645 (3.3%)</w:t>
            </w:r>
          </w:p>
        </w:tc>
        <w:tc>
          <w:tcPr/>
          <w:p>
            <w:pPr>
              <w:pStyle w:val="Compact"/>
              <w:jc w:val="left"/>
            </w:pPr>
            <w:r>
              <w:t xml:space="preserve">145 (3.6%)</w:t>
            </w:r>
          </w:p>
        </w:tc>
        <w:tc>
          <w:tcPr/>
          <w:p>
            <w:pPr>
              <w:pStyle w:val="Compact"/>
              <w:jc w:val="left"/>
            </w:pPr>
            <w:r>
              <w:t xml:space="preserve">60 (5.6%)</w:t>
            </w:r>
          </w:p>
        </w:tc>
        <w:tc>
          <w:tcPr/>
          <w:p>
            <w:pPr>
              <w:pStyle w:val="Compact"/>
              <w:jc w:val="left"/>
            </w:pPr>
            <w:r>
              <w:t xml:space="preserve">30 (7.5%)</w:t>
            </w:r>
          </w:p>
        </w:tc>
        <w:tc>
          <w:tcPr/>
          <w:p>
            <w:pPr>
              <w:pStyle w:val="Compact"/>
            </w:pPr>
          </w:p>
        </w:tc>
      </w:tr>
      <w:tr>
        <w:tc>
          <w:tcPr/>
          <w:p>
            <w:pPr>
              <w:pStyle w:val="Compact"/>
              <w:jc w:val="left"/>
            </w:pPr>
            <w:r>
              <w:t xml:space="preserve">Smoking</w:t>
            </w:r>
          </w:p>
        </w:tc>
        <w:tc>
          <w:tcPr/>
          <w:p>
            <w:pPr>
              <w:pStyle w:val="Compact"/>
              <w:jc w:val="left"/>
            </w:pPr>
            <w:r>
              <w:t xml:space="preserve">Never</w:t>
            </w:r>
          </w:p>
        </w:tc>
        <w:tc>
          <w:tcPr/>
          <w:p>
            <w:pPr>
              <w:pStyle w:val="Compact"/>
              <w:jc w:val="left"/>
            </w:pPr>
            <w:r>
              <w:t xml:space="preserve">3,535 (14.2%)</w:t>
            </w:r>
          </w:p>
        </w:tc>
        <w:tc>
          <w:tcPr/>
          <w:p>
            <w:pPr>
              <w:pStyle w:val="Compact"/>
              <w:jc w:val="left"/>
            </w:pPr>
            <w:r>
              <w:t xml:space="preserve">2,767 (14.3%)</w:t>
            </w:r>
          </w:p>
        </w:tc>
        <w:tc>
          <w:tcPr/>
          <w:p>
            <w:pPr>
              <w:pStyle w:val="Compact"/>
              <w:jc w:val="left"/>
            </w:pPr>
            <w:r>
              <w:t xml:space="preserve">564 (14.1%)</w:t>
            </w:r>
          </w:p>
        </w:tc>
        <w:tc>
          <w:tcPr/>
          <w:p>
            <w:pPr>
              <w:pStyle w:val="Compact"/>
              <w:jc w:val="left"/>
            </w:pPr>
            <w:r>
              <w:t xml:space="preserve">145 (13.7%)</w:t>
            </w:r>
          </w:p>
        </w:tc>
        <w:tc>
          <w:tcPr/>
          <w:p>
            <w:pPr>
              <w:pStyle w:val="Compact"/>
              <w:jc w:val="left"/>
            </w:pPr>
            <w:r>
              <w:t xml:space="preserve">59 (14.7%)</w:t>
            </w:r>
          </w:p>
        </w:tc>
        <w:tc>
          <w:tcPr/>
          <w:p>
            <w:pPr>
              <w:pStyle w:val="Compact"/>
              <w:jc w:val="left"/>
            </w:pPr>
            <w:r>
              <w:t xml:space="preserve">0.004</w:t>
            </w:r>
          </w:p>
        </w:tc>
      </w:tr>
      <w:tr>
        <w:tc>
          <w:tcPr/>
          <w:p>
            <w:pPr>
              <w:pStyle w:val="Compact"/>
              <w:jc w:val="left"/>
            </w:pPr>
            <w:r>
              <w:t xml:space="preserve">Smoking</w:t>
            </w:r>
          </w:p>
        </w:tc>
        <w:tc>
          <w:tcPr/>
          <w:p>
            <w:pPr>
              <w:pStyle w:val="Compact"/>
              <w:jc w:val="left"/>
            </w:pPr>
            <w:r>
              <w:t xml:space="preserve">Ever</w:t>
            </w:r>
          </w:p>
        </w:tc>
        <w:tc>
          <w:tcPr/>
          <w:p>
            <w:pPr>
              <w:pStyle w:val="Compact"/>
              <w:jc w:val="left"/>
            </w:pPr>
            <w:r>
              <w:t xml:space="preserve">4,876 (19.6%)</w:t>
            </w:r>
          </w:p>
        </w:tc>
        <w:tc>
          <w:tcPr/>
          <w:p>
            <w:pPr>
              <w:pStyle w:val="Compact"/>
              <w:jc w:val="left"/>
            </w:pPr>
            <w:r>
              <w:t xml:space="preserve">3,895 (20.1%)</w:t>
            </w:r>
          </w:p>
        </w:tc>
        <w:tc>
          <w:tcPr/>
          <w:p>
            <w:pPr>
              <w:pStyle w:val="Compact"/>
              <w:jc w:val="left"/>
            </w:pPr>
            <w:r>
              <w:t xml:space="preserve">710 (17.7%)</w:t>
            </w:r>
          </w:p>
        </w:tc>
        <w:tc>
          <w:tcPr/>
          <w:p>
            <w:pPr>
              <w:pStyle w:val="Compact"/>
              <w:jc w:val="left"/>
            </w:pPr>
            <w:r>
              <w:t xml:space="preserve">212 (20.0%)</w:t>
            </w:r>
          </w:p>
        </w:tc>
        <w:tc>
          <w:tcPr/>
          <w:p>
            <w:pPr>
              <w:pStyle w:val="Compact"/>
              <w:jc w:val="left"/>
            </w:pPr>
            <w:r>
              <w:t xml:space="preserve">59 (14.7%)</w:t>
            </w:r>
          </w:p>
        </w:tc>
        <w:tc>
          <w:tcPr/>
          <w:p>
            <w:pPr>
              <w:pStyle w:val="Compact"/>
            </w:pPr>
          </w:p>
        </w:tc>
      </w:tr>
      <w:tr>
        <w:tc>
          <w:tcPr/>
          <w:p>
            <w:pPr>
              <w:pStyle w:val="Compact"/>
              <w:jc w:val="left"/>
            </w:pPr>
            <w:r>
              <w:t xml:space="preserve">Smoking</w:t>
            </w:r>
          </w:p>
        </w:tc>
        <w:tc>
          <w:tcPr/>
          <w:p>
            <w:pPr>
              <w:pStyle w:val="Compact"/>
              <w:jc w:val="left"/>
            </w:pPr>
            <w:r>
              <w:t xml:space="preserve">Unknown</w:t>
            </w:r>
          </w:p>
        </w:tc>
        <w:tc>
          <w:tcPr/>
          <w:p>
            <w:pPr>
              <w:pStyle w:val="Compact"/>
              <w:jc w:val="left"/>
            </w:pPr>
            <w:r>
              <w:t xml:space="preserve">16,461 (66.2%)</w:t>
            </w:r>
          </w:p>
        </w:tc>
        <w:tc>
          <w:tcPr/>
          <w:p>
            <w:pPr>
              <w:pStyle w:val="Compact"/>
              <w:jc w:val="left"/>
            </w:pPr>
            <w:r>
              <w:t xml:space="preserve">12,739 (65.7%)</w:t>
            </w:r>
          </w:p>
        </w:tc>
        <w:tc>
          <w:tcPr/>
          <w:p>
            <w:pPr>
              <w:pStyle w:val="Compact"/>
              <w:jc w:val="left"/>
            </w:pPr>
            <w:r>
              <w:t xml:space="preserve">2,734 (68.2%)</w:t>
            </w:r>
          </w:p>
        </w:tc>
        <w:tc>
          <w:tcPr/>
          <w:p>
            <w:pPr>
              <w:pStyle w:val="Compact"/>
              <w:jc w:val="left"/>
            </w:pPr>
            <w:r>
              <w:t xml:space="preserve">705 (66.4%)</w:t>
            </w:r>
          </w:p>
        </w:tc>
        <w:tc>
          <w:tcPr/>
          <w:p>
            <w:pPr>
              <w:pStyle w:val="Compact"/>
              <w:jc w:val="left"/>
            </w:pPr>
            <w:r>
              <w:t xml:space="preserve">283 (70.6%)</w:t>
            </w:r>
          </w:p>
        </w:tc>
        <w:tc>
          <w:tcPr/>
          <w:p>
            <w:pPr>
              <w:pStyle w:val="Compact"/>
            </w:pPr>
          </w:p>
        </w:tc>
      </w:tr>
      <w:tr>
        <w:tc>
          <w:tcPr/>
          <w:p>
            <w:pPr>
              <w:pStyle w:val="Compact"/>
              <w:jc w:val="left"/>
            </w:pPr>
            <w:r>
              <w:t xml:space="preserve">Hypertension</w:t>
            </w:r>
          </w:p>
        </w:tc>
        <w:tc>
          <w:tcPr/>
          <w:p>
            <w:pPr>
              <w:pStyle w:val="Compact"/>
              <w:jc w:val="left"/>
            </w:pPr>
            <w:r>
              <w:t xml:space="preserve">yes</w:t>
            </w:r>
          </w:p>
        </w:tc>
        <w:tc>
          <w:tcPr/>
          <w:p>
            <w:pPr>
              <w:pStyle w:val="Compact"/>
              <w:jc w:val="left"/>
            </w:pPr>
            <w:r>
              <w:t xml:space="preserve">4,435 (17.8%)</w:t>
            </w:r>
          </w:p>
        </w:tc>
        <w:tc>
          <w:tcPr/>
          <w:p>
            <w:pPr>
              <w:pStyle w:val="Compact"/>
              <w:jc w:val="left"/>
            </w:pPr>
            <w:r>
              <w:t xml:space="preserve">3,312 (17.1%)</w:t>
            </w:r>
          </w:p>
        </w:tc>
        <w:tc>
          <w:tcPr/>
          <w:p>
            <w:pPr>
              <w:pStyle w:val="Compact"/>
              <w:jc w:val="left"/>
            </w:pPr>
            <w:r>
              <w:t xml:space="preserve">824 (20.6%)</w:t>
            </w:r>
          </w:p>
        </w:tc>
        <w:tc>
          <w:tcPr/>
          <w:p>
            <w:pPr>
              <w:pStyle w:val="Compact"/>
              <w:jc w:val="left"/>
            </w:pPr>
            <w:r>
              <w:t xml:space="preserve">228 (21.5%)</w:t>
            </w:r>
          </w:p>
        </w:tc>
        <w:tc>
          <w:tcPr/>
          <w:p>
            <w:pPr>
              <w:pStyle w:val="Compact"/>
              <w:jc w:val="left"/>
            </w:pPr>
            <w:r>
              <w:t xml:space="preserve">71 (17.7%)</w:t>
            </w:r>
          </w:p>
        </w:tc>
        <w:tc>
          <w:tcPr/>
          <w:p>
            <w:pPr>
              <w:pStyle w:val="Compact"/>
              <w:jc w:val="left"/>
            </w:pPr>
            <w:r>
              <w:t xml:space="preserve">&lt;0.001</w:t>
            </w:r>
          </w:p>
        </w:tc>
      </w:tr>
      <w:tr>
        <w:tc>
          <w:tcPr/>
          <w:p>
            <w:pPr>
              <w:pStyle w:val="Compact"/>
              <w:jc w:val="left"/>
            </w:pPr>
            <w:r>
              <w:t xml:space="preserve">Diabetes</w:t>
            </w:r>
          </w:p>
        </w:tc>
        <w:tc>
          <w:tcPr/>
          <w:p>
            <w:pPr>
              <w:pStyle w:val="Compact"/>
              <w:jc w:val="left"/>
            </w:pPr>
            <w:r>
              <w:t xml:space="preserve">yes</w:t>
            </w:r>
          </w:p>
        </w:tc>
        <w:tc>
          <w:tcPr/>
          <w:p>
            <w:pPr>
              <w:pStyle w:val="Compact"/>
              <w:jc w:val="left"/>
            </w:pPr>
            <w:r>
              <w:t xml:space="preserve">5,592 (22.5%)</w:t>
            </w:r>
          </w:p>
        </w:tc>
        <w:tc>
          <w:tcPr/>
          <w:p>
            <w:pPr>
              <w:pStyle w:val="Compact"/>
              <w:jc w:val="left"/>
            </w:pPr>
            <w:r>
              <w:t xml:space="preserve">4,275 (22.0%)</w:t>
            </w:r>
          </w:p>
        </w:tc>
        <w:tc>
          <w:tcPr/>
          <w:p>
            <w:pPr>
              <w:pStyle w:val="Compact"/>
              <w:jc w:val="left"/>
            </w:pPr>
            <w:r>
              <w:t xml:space="preserve">979 (24.4%)</w:t>
            </w:r>
          </w:p>
        </w:tc>
        <w:tc>
          <w:tcPr/>
          <w:p>
            <w:pPr>
              <w:pStyle w:val="Compact"/>
              <w:jc w:val="left"/>
            </w:pPr>
            <w:r>
              <w:t xml:space="preserve">267 (25.1%)</w:t>
            </w:r>
          </w:p>
        </w:tc>
        <w:tc>
          <w:tcPr/>
          <w:p>
            <w:pPr>
              <w:pStyle w:val="Compact"/>
              <w:jc w:val="left"/>
            </w:pPr>
            <w:r>
              <w:t xml:space="preserve">71 (17.7%)</w:t>
            </w:r>
          </w:p>
        </w:tc>
        <w:tc>
          <w:tcPr/>
          <w:p>
            <w:pPr>
              <w:pStyle w:val="Compact"/>
              <w:jc w:val="left"/>
            </w:pPr>
            <w:r>
              <w:t xml:space="preserve">&lt;0.001</w:t>
            </w:r>
          </w:p>
        </w:tc>
      </w:tr>
      <w:tr>
        <w:tc>
          <w:tcPr/>
          <w:p>
            <w:pPr>
              <w:pStyle w:val="Compact"/>
              <w:jc w:val="left"/>
            </w:pPr>
            <w:r>
              <w:t xml:space="preserve">Dyslipidemia</w:t>
            </w:r>
          </w:p>
        </w:tc>
        <w:tc>
          <w:tcPr/>
          <w:p>
            <w:pPr>
              <w:pStyle w:val="Compact"/>
              <w:jc w:val="left"/>
            </w:pPr>
            <w:r>
              <w:t xml:space="preserve">yes</w:t>
            </w:r>
          </w:p>
        </w:tc>
        <w:tc>
          <w:tcPr/>
          <w:p>
            <w:pPr>
              <w:pStyle w:val="Compact"/>
              <w:jc w:val="left"/>
            </w:pPr>
            <w:r>
              <w:t xml:space="preserve">12,199 (49.0%)</w:t>
            </w:r>
          </w:p>
        </w:tc>
        <w:tc>
          <w:tcPr/>
          <w:p>
            <w:pPr>
              <w:pStyle w:val="Compact"/>
              <w:jc w:val="left"/>
            </w:pPr>
            <w:r>
              <w:t xml:space="preserve">9,642 (49.7%)</w:t>
            </w:r>
          </w:p>
        </w:tc>
        <w:tc>
          <w:tcPr/>
          <w:p>
            <w:pPr>
              <w:pStyle w:val="Compact"/>
              <w:jc w:val="left"/>
            </w:pPr>
            <w:r>
              <w:t xml:space="preserve">1,892 (47.2%)</w:t>
            </w:r>
          </w:p>
        </w:tc>
        <w:tc>
          <w:tcPr/>
          <w:p>
            <w:pPr>
              <w:pStyle w:val="Compact"/>
              <w:jc w:val="left"/>
            </w:pPr>
            <w:r>
              <w:t xml:space="preserve">514 (48.4%)</w:t>
            </w:r>
          </w:p>
        </w:tc>
        <w:tc>
          <w:tcPr/>
          <w:p>
            <w:pPr>
              <w:pStyle w:val="Compact"/>
              <w:jc w:val="left"/>
            </w:pPr>
            <w:r>
              <w:t xml:space="preserve">151 (37.7%)</w:t>
            </w:r>
          </w:p>
        </w:tc>
        <w:tc>
          <w:tcPr/>
          <w:p>
            <w:pPr>
              <w:pStyle w:val="Compact"/>
              <w:jc w:val="left"/>
            </w:pPr>
            <w:r>
              <w:t xml:space="preserve">&lt;0.001</w:t>
            </w:r>
          </w:p>
        </w:tc>
      </w:tr>
      <w:tr>
        <w:tc>
          <w:tcPr/>
          <w:p>
            <w:pPr>
              <w:pStyle w:val="Compact"/>
              <w:jc w:val="left"/>
            </w:pPr>
            <w:r>
              <w:t xml:space="preserve">Coronary artery disease (before index)</w:t>
            </w:r>
          </w:p>
        </w:tc>
        <w:tc>
          <w:tcPr/>
          <w:p>
            <w:pPr>
              <w:pStyle w:val="Compact"/>
              <w:jc w:val="left"/>
            </w:pPr>
            <w:r>
              <w:t xml:space="preserve">yes</w:t>
            </w:r>
          </w:p>
        </w:tc>
        <w:tc>
          <w:tcPr/>
          <w:p>
            <w:pPr>
              <w:pStyle w:val="Compact"/>
              <w:jc w:val="left"/>
            </w:pPr>
            <w:r>
              <w:t xml:space="preserve">380 (1.5%)</w:t>
            </w:r>
          </w:p>
        </w:tc>
        <w:tc>
          <w:tcPr/>
          <w:p>
            <w:pPr>
              <w:pStyle w:val="Compact"/>
              <w:jc w:val="left"/>
            </w:pPr>
            <w:r>
              <w:t xml:space="preserve">286 (1.5%)</w:t>
            </w:r>
          </w:p>
        </w:tc>
        <w:tc>
          <w:tcPr/>
          <w:p>
            <w:pPr>
              <w:pStyle w:val="Compact"/>
              <w:jc w:val="left"/>
            </w:pPr>
            <w:r>
              <w:t xml:space="preserve">68 (1.7%)</w:t>
            </w:r>
          </w:p>
        </w:tc>
        <w:tc>
          <w:tcPr/>
          <w:p>
            <w:pPr>
              <w:pStyle w:val="Compact"/>
              <w:jc w:val="left"/>
            </w:pPr>
            <w:r>
              <w:t xml:space="preserve">22 (2.1%)</w:t>
            </w:r>
          </w:p>
        </w:tc>
        <w:tc>
          <w:tcPr/>
          <w:p>
            <w:pPr>
              <w:pStyle w:val="Compact"/>
              <w:jc w:val="left"/>
            </w:pPr>
            <w:r>
              <w:t xml:space="preserve">4 (1.0%)</w:t>
            </w:r>
          </w:p>
        </w:tc>
        <w:tc>
          <w:tcPr/>
          <w:p>
            <w:pPr>
              <w:pStyle w:val="Compact"/>
              <w:jc w:val="left"/>
            </w:pPr>
            <w:r>
              <w:t xml:space="preserve">0.265</w:t>
            </w:r>
          </w:p>
        </w:tc>
      </w:tr>
      <w:tr>
        <w:tc>
          <w:tcPr/>
          <w:p>
            <w:pPr>
              <w:pStyle w:val="Compact"/>
              <w:jc w:val="left"/>
            </w:pPr>
            <w:r>
              <w:t xml:space="preserve">Migraine (any)</w:t>
            </w:r>
          </w:p>
        </w:tc>
        <w:tc>
          <w:tcPr/>
          <w:p>
            <w:pPr>
              <w:pStyle w:val="Compact"/>
              <w:jc w:val="left"/>
            </w:pPr>
            <w:r>
              <w:t xml:space="preserve">yes</w:t>
            </w:r>
          </w:p>
        </w:tc>
        <w:tc>
          <w:tcPr/>
          <w:p>
            <w:pPr>
              <w:pStyle w:val="Compact"/>
              <w:jc w:val="left"/>
            </w:pPr>
            <w:r>
              <w:t xml:space="preserve">6,893 (27.7%)</w:t>
            </w:r>
          </w:p>
        </w:tc>
        <w:tc>
          <w:tcPr/>
          <w:p>
            <w:pPr>
              <w:pStyle w:val="Compact"/>
              <w:jc w:val="left"/>
            </w:pPr>
            <w:r>
              <w:t xml:space="preserve">5,636 (29.1%)</w:t>
            </w:r>
          </w:p>
        </w:tc>
        <w:tc>
          <w:tcPr/>
          <w:p>
            <w:pPr>
              <w:pStyle w:val="Compact"/>
              <w:jc w:val="left"/>
            </w:pPr>
            <w:r>
              <w:t xml:space="preserve">1,006 (25.1%)</w:t>
            </w:r>
          </w:p>
        </w:tc>
        <w:tc>
          <w:tcPr/>
          <w:p>
            <w:pPr>
              <w:pStyle w:val="Compact"/>
              <w:jc w:val="left"/>
            </w:pPr>
            <w:r>
              <w:t xml:space="preserve">191 (18.0%)</w:t>
            </w:r>
          </w:p>
        </w:tc>
        <w:tc>
          <w:tcPr/>
          <w:p>
            <w:pPr>
              <w:pStyle w:val="Compact"/>
              <w:jc w:val="left"/>
            </w:pPr>
            <w:r>
              <w:t xml:space="preserve">60 (15.0%)</w:t>
            </w:r>
          </w:p>
        </w:tc>
        <w:tc>
          <w:tcPr/>
          <w:p>
            <w:pPr>
              <w:pStyle w:val="Compact"/>
              <w:jc w:val="left"/>
            </w:pPr>
            <w:r>
              <w:t xml:space="preserve">&lt;0.001</w:t>
            </w:r>
          </w:p>
        </w:tc>
      </w:tr>
      <w:tr>
        <w:tc>
          <w:tcPr/>
          <w:p>
            <w:pPr>
              <w:pStyle w:val="Compact"/>
              <w:jc w:val="left"/>
            </w:pPr>
            <w:r>
              <w:t xml:space="preserve">Uterine diagnosis group</w:t>
            </w:r>
          </w:p>
        </w:tc>
        <w:tc>
          <w:tcPr/>
          <w:p>
            <w:pPr>
              <w:pStyle w:val="Compact"/>
              <w:jc w:val="left"/>
            </w:pPr>
            <w:r>
              <w:t xml:space="preserve">Fibroids only</w:t>
            </w:r>
          </w:p>
        </w:tc>
        <w:tc>
          <w:tcPr/>
          <w:p>
            <w:pPr>
              <w:pStyle w:val="Compact"/>
              <w:jc w:val="left"/>
            </w:pPr>
            <w:r>
              <w:t xml:space="preserve">9,406 (37.8%)</w:t>
            </w:r>
          </w:p>
        </w:tc>
        <w:tc>
          <w:tcPr/>
          <w:p>
            <w:pPr>
              <w:pStyle w:val="Compact"/>
              <w:jc w:val="left"/>
            </w:pPr>
            <w:r>
              <w:t xml:space="preserve">6,878 (35.5%)</w:t>
            </w:r>
          </w:p>
        </w:tc>
        <w:tc>
          <w:tcPr/>
          <w:p>
            <w:pPr>
              <w:pStyle w:val="Compact"/>
              <w:jc w:val="left"/>
            </w:pPr>
            <w:r>
              <w:t xml:space="preserve">1,763 (44.0%)</w:t>
            </w:r>
          </w:p>
        </w:tc>
        <w:tc>
          <w:tcPr/>
          <w:p>
            <w:pPr>
              <w:pStyle w:val="Compact"/>
              <w:jc w:val="left"/>
            </w:pPr>
            <w:r>
              <w:t xml:space="preserve">541 (50.9%)</w:t>
            </w:r>
          </w:p>
        </w:tc>
        <w:tc>
          <w:tcPr/>
          <w:p>
            <w:pPr>
              <w:pStyle w:val="Compact"/>
              <w:jc w:val="left"/>
            </w:pPr>
            <w:r>
              <w:t xml:space="preserve">224 (55.9%)</w:t>
            </w:r>
          </w:p>
        </w:tc>
        <w:tc>
          <w:tcPr/>
          <w:p>
            <w:pPr>
              <w:pStyle w:val="Compact"/>
              <w:jc w:val="left"/>
            </w:pPr>
            <w:r>
              <w:t xml:space="preserve">&lt;0.001</w:t>
            </w:r>
          </w:p>
        </w:tc>
      </w:tr>
      <w:tr>
        <w:tc>
          <w:tcPr/>
          <w:p>
            <w:pPr>
              <w:pStyle w:val="Compact"/>
              <w:jc w:val="left"/>
            </w:pPr>
            <w:r>
              <w:t xml:space="preserve">Uterine diagnosis group</w:t>
            </w:r>
          </w:p>
        </w:tc>
        <w:tc>
          <w:tcPr/>
          <w:p>
            <w:pPr>
              <w:pStyle w:val="Compact"/>
              <w:jc w:val="left"/>
            </w:pPr>
            <w:r>
              <w:t xml:space="preserve">Adenomyosis only</w:t>
            </w:r>
          </w:p>
        </w:tc>
        <w:tc>
          <w:tcPr/>
          <w:p>
            <w:pPr>
              <w:pStyle w:val="Compact"/>
              <w:jc w:val="left"/>
            </w:pPr>
            <w:r>
              <w:t xml:space="preserve">1,192 (4.8%)</w:t>
            </w:r>
          </w:p>
        </w:tc>
        <w:tc>
          <w:tcPr/>
          <w:p>
            <w:pPr>
              <w:pStyle w:val="Compact"/>
              <w:jc w:val="left"/>
            </w:pPr>
            <w:r>
              <w:t xml:space="preserve">971 (5.0%)</w:t>
            </w:r>
          </w:p>
        </w:tc>
        <w:tc>
          <w:tcPr/>
          <w:p>
            <w:pPr>
              <w:pStyle w:val="Compact"/>
              <w:jc w:val="left"/>
            </w:pPr>
            <w:r>
              <w:t xml:space="preserve">163 (4.1%)</w:t>
            </w:r>
          </w:p>
        </w:tc>
        <w:tc>
          <w:tcPr/>
          <w:p>
            <w:pPr>
              <w:pStyle w:val="Compact"/>
              <w:jc w:val="left"/>
            </w:pPr>
            <w:r>
              <w:t xml:space="preserve">41 (3.9%)</w:t>
            </w:r>
          </w:p>
        </w:tc>
        <w:tc>
          <w:tcPr/>
          <w:p>
            <w:pPr>
              <w:pStyle w:val="Compact"/>
              <w:jc w:val="left"/>
            </w:pPr>
            <w:r>
              <w:t xml:space="preserve">17 (4.2%)</w:t>
            </w:r>
          </w:p>
        </w:tc>
        <w:tc>
          <w:tcPr/>
          <w:p>
            <w:pPr>
              <w:pStyle w:val="Compact"/>
            </w:pPr>
          </w:p>
        </w:tc>
      </w:tr>
      <w:tr>
        <w:tc>
          <w:tcPr/>
          <w:p>
            <w:pPr>
              <w:pStyle w:val="Compact"/>
              <w:jc w:val="left"/>
            </w:pPr>
            <w:r>
              <w:t xml:space="preserve">Uterine diagnosis group</w:t>
            </w:r>
          </w:p>
        </w:tc>
        <w:tc>
          <w:tcPr/>
          <w:p>
            <w:pPr>
              <w:pStyle w:val="Compact"/>
              <w:jc w:val="left"/>
            </w:pPr>
            <w:r>
              <w:t xml:space="preserve">Endometriosis only</w:t>
            </w:r>
          </w:p>
        </w:tc>
        <w:tc>
          <w:tcPr/>
          <w:p>
            <w:pPr>
              <w:pStyle w:val="Compact"/>
              <w:jc w:val="left"/>
            </w:pPr>
            <w:r>
              <w:t xml:space="preserve">6,368 (25.6%)</w:t>
            </w:r>
          </w:p>
        </w:tc>
        <w:tc>
          <w:tcPr/>
          <w:p>
            <w:pPr>
              <w:pStyle w:val="Compact"/>
              <w:jc w:val="left"/>
            </w:pPr>
            <w:r>
              <w:t xml:space="preserve">5,444 (28.1%)</w:t>
            </w:r>
          </w:p>
        </w:tc>
        <w:tc>
          <w:tcPr/>
          <w:p>
            <w:pPr>
              <w:pStyle w:val="Compact"/>
              <w:jc w:val="left"/>
            </w:pPr>
            <w:r>
              <w:t xml:space="preserve">779 (19.4%)</w:t>
            </w:r>
          </w:p>
        </w:tc>
        <w:tc>
          <w:tcPr/>
          <w:p>
            <w:pPr>
              <w:pStyle w:val="Compact"/>
              <w:jc w:val="left"/>
            </w:pPr>
            <w:r>
              <w:t xml:space="preserve">120 (11.3%)</w:t>
            </w:r>
          </w:p>
        </w:tc>
        <w:tc>
          <w:tcPr/>
          <w:p>
            <w:pPr>
              <w:pStyle w:val="Compact"/>
              <w:jc w:val="left"/>
            </w:pPr>
            <w:r>
              <w:t xml:space="preserve">25 (6.2%)</w:t>
            </w:r>
          </w:p>
        </w:tc>
        <w:tc>
          <w:tcPr/>
          <w:p>
            <w:pPr>
              <w:pStyle w:val="Compact"/>
            </w:pPr>
          </w:p>
        </w:tc>
      </w:tr>
      <w:tr>
        <w:tc>
          <w:tcPr/>
          <w:p>
            <w:pPr>
              <w:pStyle w:val="Compact"/>
              <w:jc w:val="left"/>
            </w:pPr>
            <w:r>
              <w:t xml:space="preserve">Uterine diagnosis group</w:t>
            </w:r>
          </w:p>
        </w:tc>
        <w:tc>
          <w:tcPr/>
          <w:p>
            <w:pPr>
              <w:pStyle w:val="Compact"/>
              <w:jc w:val="left"/>
            </w:pPr>
            <w:r>
              <w:t xml:space="preserve">&gt;1 condition</w:t>
            </w:r>
          </w:p>
        </w:tc>
        <w:tc>
          <w:tcPr/>
          <w:p>
            <w:pPr>
              <w:pStyle w:val="Compact"/>
              <w:jc w:val="left"/>
            </w:pPr>
            <w:r>
              <w:t xml:space="preserve">7,906 (31.8%)</w:t>
            </w:r>
          </w:p>
        </w:tc>
        <w:tc>
          <w:tcPr/>
          <w:p>
            <w:pPr>
              <w:pStyle w:val="Compact"/>
              <w:jc w:val="left"/>
            </w:pPr>
            <w:r>
              <w:t xml:space="preserve">6,108 (31.5%)</w:t>
            </w:r>
          </w:p>
        </w:tc>
        <w:tc>
          <w:tcPr/>
          <w:p>
            <w:pPr>
              <w:pStyle w:val="Compact"/>
              <w:jc w:val="left"/>
            </w:pPr>
            <w:r>
              <w:t xml:space="preserve">1,303 (32.5%)</w:t>
            </w:r>
          </w:p>
        </w:tc>
        <w:tc>
          <w:tcPr/>
          <w:p>
            <w:pPr>
              <w:pStyle w:val="Compact"/>
              <w:jc w:val="left"/>
            </w:pPr>
            <w:r>
              <w:t xml:space="preserve">360 (33.9%)</w:t>
            </w:r>
          </w:p>
        </w:tc>
        <w:tc>
          <w:tcPr/>
          <w:p>
            <w:pPr>
              <w:pStyle w:val="Compact"/>
              <w:jc w:val="left"/>
            </w:pPr>
            <w:r>
              <w:t xml:space="preserve">135 (33.7%)</w:t>
            </w:r>
          </w:p>
        </w:tc>
        <w:tc>
          <w:tcPr/>
          <w:p>
            <w:pPr>
              <w:pStyle w:val="Compact"/>
            </w:pPr>
          </w:p>
        </w:tc>
      </w:tr>
      <w:tr>
        <w:tc>
          <w:tcPr/>
          <w:p>
            <w:pPr>
              <w:pStyle w:val="Compact"/>
              <w:jc w:val="left"/>
            </w:pPr>
            <w:r>
              <w:t xml:space="preserve">Heavy/abnormal uterine bleeding</w:t>
            </w:r>
          </w:p>
        </w:tc>
        <w:tc>
          <w:tcPr/>
          <w:p>
            <w:pPr>
              <w:pStyle w:val="Compact"/>
              <w:jc w:val="left"/>
            </w:pPr>
            <w:r>
              <w:t xml:space="preserve">yes</w:t>
            </w:r>
          </w:p>
        </w:tc>
        <w:tc>
          <w:tcPr/>
          <w:p>
            <w:pPr>
              <w:pStyle w:val="Compact"/>
              <w:jc w:val="left"/>
            </w:pPr>
            <w:r>
              <w:t xml:space="preserve">14,584 (58.6%)</w:t>
            </w:r>
          </w:p>
        </w:tc>
        <w:tc>
          <w:tcPr/>
          <w:p>
            <w:pPr>
              <w:pStyle w:val="Compact"/>
              <w:jc w:val="left"/>
            </w:pPr>
            <w:r>
              <w:t xml:space="preserve">10,985 (56.6%)</w:t>
            </w:r>
          </w:p>
        </w:tc>
        <w:tc>
          <w:tcPr/>
          <w:p>
            <w:pPr>
              <w:pStyle w:val="Compact"/>
              <w:jc w:val="left"/>
            </w:pPr>
            <w:r>
              <w:t xml:space="preserve">2,478 (61.8%)</w:t>
            </w:r>
          </w:p>
        </w:tc>
        <w:tc>
          <w:tcPr/>
          <w:p>
            <w:pPr>
              <w:pStyle w:val="Compact"/>
              <w:jc w:val="left"/>
            </w:pPr>
            <w:r>
              <w:t xml:space="preserve">781 (73.5%)</w:t>
            </w:r>
          </w:p>
        </w:tc>
        <w:tc>
          <w:tcPr/>
          <w:p>
            <w:pPr>
              <w:pStyle w:val="Compact"/>
              <w:jc w:val="left"/>
            </w:pPr>
            <w:r>
              <w:t xml:space="preserve">340 (84.8%)</w:t>
            </w:r>
          </w:p>
        </w:tc>
        <w:tc>
          <w:tcPr/>
          <w:p>
            <w:pPr>
              <w:pStyle w:val="Compact"/>
              <w:jc w:val="left"/>
            </w:pPr>
            <w:r>
              <w:t xml:space="preserve">&lt;0.001</w:t>
            </w:r>
          </w:p>
        </w:tc>
      </w:tr>
      <w:tr>
        <w:tc>
          <w:tcPr/>
          <w:p>
            <w:pPr>
              <w:pStyle w:val="Compact"/>
              <w:jc w:val="left"/>
            </w:pPr>
            <w:r>
              <w:t xml:space="preserve">Hemoglobinopathy (any date)</w:t>
            </w:r>
          </w:p>
        </w:tc>
        <w:tc>
          <w:tcPr/>
          <w:p>
            <w:pPr>
              <w:pStyle w:val="Compact"/>
              <w:jc w:val="left"/>
            </w:pPr>
            <w:r>
              <w:t xml:space="preserve">yes</w:t>
            </w:r>
          </w:p>
        </w:tc>
        <w:tc>
          <w:tcPr/>
          <w:p>
            <w:pPr>
              <w:pStyle w:val="Compact"/>
              <w:jc w:val="left"/>
            </w:pPr>
            <w:r>
              <w:t xml:space="preserve">266 (1.1%)</w:t>
            </w:r>
          </w:p>
        </w:tc>
        <w:tc>
          <w:tcPr/>
          <w:p>
            <w:pPr>
              <w:pStyle w:val="Compact"/>
              <w:jc w:val="left"/>
            </w:pPr>
            <w:r>
              <w:t xml:space="preserve">122 (0.6%)</w:t>
            </w:r>
          </w:p>
        </w:tc>
        <w:tc>
          <w:tcPr/>
          <w:p>
            <w:pPr>
              <w:pStyle w:val="Compact"/>
              <w:jc w:val="left"/>
            </w:pPr>
            <w:r>
              <w:t xml:space="preserve">93 (2.3%)</w:t>
            </w:r>
          </w:p>
        </w:tc>
        <w:tc>
          <w:tcPr/>
          <w:p>
            <w:pPr>
              <w:pStyle w:val="Compact"/>
              <w:jc w:val="left"/>
            </w:pPr>
            <w:r>
              <w:t xml:space="preserve">35 (3.3%)</w:t>
            </w:r>
          </w:p>
        </w:tc>
        <w:tc>
          <w:tcPr/>
          <w:p>
            <w:pPr>
              <w:pStyle w:val="Compact"/>
              <w:jc w:val="left"/>
            </w:pPr>
            <w:r>
              <w:t xml:space="preserve">16 (4.0%)</w:t>
            </w:r>
          </w:p>
        </w:tc>
        <w:tc>
          <w:tcPr/>
          <w:p>
            <w:pPr>
              <w:pStyle w:val="Compact"/>
              <w:jc w:val="left"/>
            </w:pPr>
            <w:r>
              <w:t xml:space="preserve">&lt;0.001</w:t>
            </w:r>
          </w:p>
        </w:tc>
      </w:tr>
      <w:tr>
        <w:tc>
          <w:tcPr/>
          <w:p>
            <w:pPr>
              <w:pStyle w:val="Compact"/>
              <w:jc w:val="left"/>
            </w:pPr>
            <w:r>
              <w:t xml:space="preserve">CKD (before index)</w:t>
            </w:r>
          </w:p>
        </w:tc>
        <w:tc>
          <w:tcPr/>
          <w:p>
            <w:pPr>
              <w:pStyle w:val="Compact"/>
              <w:jc w:val="left"/>
            </w:pPr>
            <w:r>
              <w:t xml:space="preserve">yes</w:t>
            </w:r>
          </w:p>
        </w:tc>
        <w:tc>
          <w:tcPr/>
          <w:p>
            <w:pPr>
              <w:pStyle w:val="Compact"/>
              <w:jc w:val="left"/>
            </w:pPr>
            <w:r>
              <w:t xml:space="preserve">671 (2.7%)</w:t>
            </w:r>
          </w:p>
        </w:tc>
        <w:tc>
          <w:tcPr/>
          <w:p>
            <w:pPr>
              <w:pStyle w:val="Compact"/>
              <w:jc w:val="left"/>
            </w:pPr>
            <w:r>
              <w:t xml:space="preserve">366 (1.9%)</w:t>
            </w:r>
          </w:p>
        </w:tc>
        <w:tc>
          <w:tcPr/>
          <w:p>
            <w:pPr>
              <w:pStyle w:val="Compact"/>
              <w:jc w:val="left"/>
            </w:pPr>
            <w:r>
              <w:t xml:space="preserve">197 (4.9%)</w:t>
            </w:r>
          </w:p>
        </w:tc>
        <w:tc>
          <w:tcPr/>
          <w:p>
            <w:pPr>
              <w:pStyle w:val="Compact"/>
              <w:jc w:val="left"/>
            </w:pPr>
            <w:r>
              <w:t xml:space="preserve">82 (7.7%)</w:t>
            </w:r>
          </w:p>
        </w:tc>
        <w:tc>
          <w:tcPr/>
          <w:p>
            <w:pPr>
              <w:pStyle w:val="Compact"/>
              <w:jc w:val="left"/>
            </w:pPr>
            <w:r>
              <w:t xml:space="preserve">26 (6.5%)</w:t>
            </w:r>
          </w:p>
        </w:tc>
        <w:tc>
          <w:tcPr/>
          <w:p>
            <w:pPr>
              <w:pStyle w:val="Compact"/>
              <w:jc w:val="left"/>
            </w:pPr>
            <w:r>
              <w:t xml:space="preserve">&lt;0.001</w:t>
            </w:r>
          </w:p>
        </w:tc>
      </w:tr>
      <w:tr>
        <w:tc>
          <w:tcPr/>
          <w:p>
            <w:pPr>
              <w:pStyle w:val="Compact"/>
              <w:jc w:val="left"/>
            </w:pPr>
            <w:r>
              <w:t xml:space="preserve">Chronic liver disease (before index)</w:t>
            </w:r>
          </w:p>
        </w:tc>
        <w:tc>
          <w:tcPr/>
          <w:p>
            <w:pPr>
              <w:pStyle w:val="Compact"/>
              <w:jc w:val="left"/>
            </w:pPr>
            <w:r>
              <w:t xml:space="preserve">yes</w:t>
            </w:r>
          </w:p>
        </w:tc>
        <w:tc>
          <w:tcPr/>
          <w:p>
            <w:pPr>
              <w:pStyle w:val="Compact"/>
              <w:jc w:val="left"/>
            </w:pPr>
            <w:r>
              <w:t xml:space="preserve">1,360 (5.5%)</w:t>
            </w:r>
          </w:p>
        </w:tc>
        <w:tc>
          <w:tcPr/>
          <w:p>
            <w:pPr>
              <w:pStyle w:val="Compact"/>
              <w:jc w:val="left"/>
            </w:pPr>
            <w:r>
              <w:t xml:space="preserve">1,071 (5.5%)</w:t>
            </w:r>
          </w:p>
        </w:tc>
        <w:tc>
          <w:tcPr/>
          <w:p>
            <w:pPr>
              <w:pStyle w:val="Compact"/>
              <w:jc w:val="left"/>
            </w:pPr>
            <w:r>
              <w:t xml:space="preserve">209 (5.2%)</w:t>
            </w:r>
          </w:p>
        </w:tc>
        <w:tc>
          <w:tcPr/>
          <w:p>
            <w:pPr>
              <w:pStyle w:val="Compact"/>
              <w:jc w:val="left"/>
            </w:pPr>
            <w:r>
              <w:t xml:space="preserve">64 (6.0%)</w:t>
            </w:r>
          </w:p>
        </w:tc>
        <w:tc>
          <w:tcPr/>
          <w:p>
            <w:pPr>
              <w:pStyle w:val="Compact"/>
              <w:jc w:val="left"/>
            </w:pPr>
            <w:r>
              <w:t xml:space="preserve">16 (4.0%)</w:t>
            </w:r>
          </w:p>
        </w:tc>
        <w:tc>
          <w:tcPr/>
          <w:p>
            <w:pPr>
              <w:pStyle w:val="Compact"/>
              <w:jc w:val="left"/>
            </w:pPr>
            <w:r>
              <w:t xml:space="preserve">0.402</w:t>
            </w:r>
          </w:p>
        </w:tc>
      </w:tr>
      <w:tr>
        <w:tc>
          <w:tcPr/>
          <w:p>
            <w:pPr>
              <w:pStyle w:val="Compact"/>
              <w:jc w:val="left"/>
            </w:pPr>
            <w:r>
              <w:t xml:space="preserve">Any anemia-causing condition</w:t>
            </w:r>
          </w:p>
        </w:tc>
        <w:tc>
          <w:tcPr/>
          <w:p>
            <w:pPr>
              <w:pStyle w:val="Compact"/>
              <w:jc w:val="left"/>
            </w:pPr>
            <w:r>
              <w:t xml:space="preserve">yes</w:t>
            </w:r>
          </w:p>
        </w:tc>
        <w:tc>
          <w:tcPr/>
          <w:p>
            <w:pPr>
              <w:pStyle w:val="Compact"/>
              <w:jc w:val="left"/>
            </w:pPr>
            <w:r>
              <w:t xml:space="preserve">5,830 (23.4%)</w:t>
            </w:r>
          </w:p>
        </w:tc>
        <w:tc>
          <w:tcPr/>
          <w:p>
            <w:pPr>
              <w:pStyle w:val="Compact"/>
              <w:jc w:val="left"/>
            </w:pPr>
            <w:r>
              <w:t xml:space="preserve">4,165 (21.5%)</w:t>
            </w:r>
          </w:p>
        </w:tc>
        <w:tc>
          <w:tcPr/>
          <w:p>
            <w:pPr>
              <w:pStyle w:val="Compact"/>
              <w:jc w:val="left"/>
            </w:pPr>
            <w:r>
              <w:t xml:space="preserve">1,251 (31.2%)</w:t>
            </w:r>
          </w:p>
        </w:tc>
        <w:tc>
          <w:tcPr/>
          <w:p>
            <w:pPr>
              <w:pStyle w:val="Compact"/>
              <w:jc w:val="left"/>
            </w:pPr>
            <w:r>
              <w:t xml:space="preserve">318 (29.9%)</w:t>
            </w:r>
          </w:p>
        </w:tc>
        <w:tc>
          <w:tcPr/>
          <w:p>
            <w:pPr>
              <w:pStyle w:val="Compact"/>
              <w:jc w:val="left"/>
            </w:pPr>
            <w:r>
              <w:t xml:space="preserve">96 (23.9%)</w:t>
            </w:r>
          </w:p>
        </w:tc>
        <w:tc>
          <w:tcPr/>
          <w:p>
            <w:pPr>
              <w:pStyle w:val="Compact"/>
              <w:jc w:val="left"/>
            </w:pPr>
            <w:r>
              <w:t xml:space="preserve">&lt;0.001</w:t>
            </w:r>
          </w:p>
        </w:tc>
      </w:tr>
      <w:tr>
        <w:tc>
          <w:tcPr/>
          <w:p>
            <w:pPr>
              <w:pStyle w:val="Compact"/>
              <w:jc w:val="left"/>
            </w:pPr>
            <w:r>
              <w:t xml:space="preserve">Baseline Hb, g/dL</w:t>
            </w:r>
          </w:p>
        </w:tc>
        <w:tc>
          <w:tcPr/>
          <w:p>
            <w:pPr>
              <w:pStyle w:val="Compact"/>
              <w:jc w:val="left"/>
            </w:pPr>
            <w:r>
              <w:t xml:space="preserve">median (IQR)</w:t>
            </w:r>
          </w:p>
        </w:tc>
        <w:tc>
          <w:tcPr/>
          <w:p>
            <w:pPr>
              <w:pStyle w:val="Compact"/>
              <w:jc w:val="left"/>
            </w:pPr>
            <w:r>
              <w:t xml:space="preserve">13.1 (12.1–13.9)</w:t>
            </w:r>
          </w:p>
        </w:tc>
        <w:tc>
          <w:tcPr/>
          <w:p>
            <w:pPr>
              <w:pStyle w:val="Compact"/>
              <w:jc w:val="left"/>
            </w:pPr>
            <w:r>
              <w:t xml:space="preserve">13.4 (12.8–14.1)</w:t>
            </w:r>
          </w:p>
        </w:tc>
        <w:tc>
          <w:tcPr/>
          <w:p>
            <w:pPr>
              <w:pStyle w:val="Compact"/>
              <w:jc w:val="left"/>
            </w:pPr>
            <w:r>
              <w:t xml:space="preserve">11.3 (10.8–11.7)</w:t>
            </w:r>
          </w:p>
        </w:tc>
        <w:tc>
          <w:tcPr/>
          <w:p>
            <w:pPr>
              <w:pStyle w:val="Compact"/>
              <w:jc w:val="left"/>
            </w:pPr>
            <w:r>
              <w:t xml:space="preserve">9.2 (8.7–9.6)</w:t>
            </w:r>
          </w:p>
        </w:tc>
        <w:tc>
          <w:tcPr/>
          <w:p>
            <w:pPr>
              <w:pStyle w:val="Compact"/>
              <w:jc w:val="left"/>
            </w:pPr>
            <w:r>
              <w:t xml:space="preserve">7.1 (6.4–7.6)</w:t>
            </w:r>
          </w:p>
        </w:tc>
        <w:tc>
          <w:tcPr/>
          <w:p>
            <w:pPr>
              <w:pStyle w:val="Compact"/>
              <w:jc w:val="left"/>
            </w:pPr>
            <w:r>
              <w:t xml:space="preserve">&lt;0.001</w:t>
            </w:r>
          </w:p>
        </w:tc>
      </w:tr>
      <w:tr>
        <w:tc>
          <w:tcPr/>
          <w:p>
            <w:pPr>
              <w:pStyle w:val="Compact"/>
              <w:jc w:val="left"/>
            </w:pPr>
            <w:r>
              <w:t xml:space="preserve">Follow-up, years</w:t>
            </w:r>
          </w:p>
        </w:tc>
        <w:tc>
          <w:tcPr/>
          <w:p>
            <w:pPr>
              <w:pStyle w:val="Compact"/>
              <w:jc w:val="left"/>
            </w:pPr>
            <w:r>
              <w:t xml:space="preserve">median (IQR)</w:t>
            </w:r>
          </w:p>
        </w:tc>
        <w:tc>
          <w:tcPr/>
          <w:p>
            <w:pPr>
              <w:pStyle w:val="Compact"/>
              <w:jc w:val="left"/>
            </w:pPr>
            <w:r>
              <w:t xml:space="preserve">2.8 (1.2–5.2)</w:t>
            </w:r>
          </w:p>
        </w:tc>
        <w:tc>
          <w:tcPr/>
          <w:p>
            <w:pPr>
              <w:pStyle w:val="Compact"/>
              <w:jc w:val="left"/>
            </w:pPr>
            <w:r>
              <w:t xml:space="preserve">2.9 (1.2–5.2)</w:t>
            </w:r>
          </w:p>
        </w:tc>
        <w:tc>
          <w:tcPr/>
          <w:p>
            <w:pPr>
              <w:pStyle w:val="Compact"/>
              <w:jc w:val="left"/>
            </w:pPr>
            <w:r>
              <w:t xml:space="preserve">2.8 (1.2–5.1)</w:t>
            </w:r>
          </w:p>
        </w:tc>
        <w:tc>
          <w:tcPr/>
          <w:p>
            <w:pPr>
              <w:pStyle w:val="Compact"/>
              <w:jc w:val="left"/>
            </w:pPr>
            <w:r>
              <w:t xml:space="preserve">2.8 (1.2–5.3)</w:t>
            </w:r>
          </w:p>
        </w:tc>
        <w:tc>
          <w:tcPr/>
          <w:p>
            <w:pPr>
              <w:pStyle w:val="Compact"/>
              <w:jc w:val="left"/>
            </w:pPr>
            <w:r>
              <w:t xml:space="preserve">2.5 (0.9–4.9)</w:t>
            </w:r>
          </w:p>
        </w:tc>
        <w:tc>
          <w:tcPr/>
          <w:p>
            <w:pPr>
              <w:pStyle w:val="Compact"/>
              <w:jc w:val="left"/>
            </w:pPr>
            <w:r>
              <w:t xml:space="preserve">0.055</w:t>
            </w:r>
          </w:p>
        </w:tc>
      </w:tr>
      <w:tr>
        <w:tc>
          <w:tcPr/>
          <w:p>
            <w:pPr>
              <w:pStyle w:val="Compact"/>
              <w:jc w:val="left"/>
            </w:pPr>
            <w:r>
              <w:t xml:space="preserve">Incident stroke (excl. TIA)</w:t>
            </w:r>
          </w:p>
        </w:tc>
        <w:tc>
          <w:tcPr/>
          <w:p>
            <w:pPr>
              <w:pStyle w:val="Compact"/>
              <w:jc w:val="left"/>
            </w:pPr>
            <w:r>
              <w:t xml:space="preserve">yes</w:t>
            </w:r>
          </w:p>
        </w:tc>
        <w:tc>
          <w:tcPr/>
          <w:p>
            <w:pPr>
              <w:pStyle w:val="Compact"/>
              <w:jc w:val="left"/>
            </w:pPr>
            <w:r>
              <w:t xml:space="preserve">342 (1.4%)</w:t>
            </w:r>
          </w:p>
        </w:tc>
        <w:tc>
          <w:tcPr/>
          <w:p>
            <w:pPr>
              <w:pStyle w:val="Compact"/>
              <w:jc w:val="left"/>
            </w:pPr>
            <w:r>
              <w:t xml:space="preserve">236 (1.2%)</w:t>
            </w:r>
          </w:p>
        </w:tc>
        <w:tc>
          <w:tcPr/>
          <w:p>
            <w:pPr>
              <w:pStyle w:val="Compact"/>
              <w:jc w:val="left"/>
            </w:pPr>
            <w:r>
              <w:t xml:space="preserve">76 (1.9%)</w:t>
            </w:r>
          </w:p>
        </w:tc>
        <w:tc>
          <w:tcPr/>
          <w:p>
            <w:pPr>
              <w:pStyle w:val="Compact"/>
              <w:jc w:val="left"/>
            </w:pPr>
            <w:r>
              <w:t xml:space="preserve">22 (2.1%)</w:t>
            </w:r>
          </w:p>
        </w:tc>
        <w:tc>
          <w:tcPr/>
          <w:p>
            <w:pPr>
              <w:pStyle w:val="Compact"/>
              <w:jc w:val="left"/>
            </w:pPr>
            <w:r>
              <w:t xml:space="preserve">8 (2.0%)</w:t>
            </w:r>
          </w:p>
        </w:tc>
        <w:tc>
          <w:tcPr/>
          <w:p>
            <w:pPr>
              <w:pStyle w:val="Compact"/>
              <w:jc w:val="left"/>
            </w:pPr>
            <w:r>
              <w:t xml:space="preserve">&lt;0.001</w:t>
            </w:r>
          </w:p>
        </w:tc>
      </w:tr>
      <w:tr>
        <w:tc>
          <w:tcPr/>
          <w:p>
            <w:pPr>
              <w:pStyle w:val="Compact"/>
              <w:jc w:val="left"/>
            </w:pPr>
            <w:r>
              <w:t xml:space="preserve">Incident stroke or TIA</w:t>
            </w:r>
          </w:p>
        </w:tc>
        <w:tc>
          <w:tcPr/>
          <w:p>
            <w:pPr>
              <w:pStyle w:val="Compact"/>
              <w:jc w:val="left"/>
            </w:pPr>
            <w:r>
              <w:t xml:space="preserve">yes</w:t>
            </w:r>
          </w:p>
        </w:tc>
        <w:tc>
          <w:tcPr/>
          <w:p>
            <w:pPr>
              <w:pStyle w:val="Compact"/>
              <w:jc w:val="left"/>
            </w:pPr>
            <w:r>
              <w:t xml:space="preserve">427 (1.7%)</w:t>
            </w:r>
          </w:p>
        </w:tc>
        <w:tc>
          <w:tcPr/>
          <w:p>
            <w:pPr>
              <w:pStyle w:val="Compact"/>
              <w:jc w:val="left"/>
            </w:pPr>
            <w:r>
              <w:t xml:space="preserve">301 (1.6%)</w:t>
            </w:r>
          </w:p>
        </w:tc>
        <w:tc>
          <w:tcPr/>
          <w:p>
            <w:pPr>
              <w:pStyle w:val="Compact"/>
              <w:jc w:val="left"/>
            </w:pPr>
            <w:r>
              <w:t xml:space="preserve">96 (2.4%)</w:t>
            </w:r>
          </w:p>
        </w:tc>
        <w:tc>
          <w:tcPr/>
          <w:p>
            <w:pPr>
              <w:pStyle w:val="Compact"/>
              <w:jc w:val="left"/>
            </w:pPr>
            <w:r>
              <w:t xml:space="preserve">22 (2.1%)</w:t>
            </w:r>
          </w:p>
        </w:tc>
        <w:tc>
          <w:tcPr/>
          <w:p>
            <w:pPr>
              <w:pStyle w:val="Compact"/>
              <w:jc w:val="left"/>
            </w:pPr>
            <w:r>
              <w:t xml:space="preserve">8 (2.0%)</w:t>
            </w:r>
          </w:p>
        </w:tc>
        <w:tc>
          <w:tcPr/>
          <w:p>
            <w:pPr>
              <w:pStyle w:val="Compact"/>
              <w:jc w:val="left"/>
            </w:pPr>
            <w:r>
              <w:t xml:space="preserve">0.002</w:t>
            </w:r>
          </w:p>
        </w:tc>
      </w:tr>
      <w:tr>
        <w:tc>
          <w:tcPr/>
          <w:p>
            <w:pPr>
              <w:pStyle w:val="Compact"/>
              <w:jc w:val="left"/>
            </w:pPr>
            <w:r>
              <w:t xml:space="preserve">Death without stroke</w:t>
            </w:r>
          </w:p>
        </w:tc>
        <w:tc>
          <w:tcPr/>
          <w:p>
            <w:pPr>
              <w:pStyle w:val="Compact"/>
              <w:jc w:val="left"/>
            </w:pPr>
            <w:r>
              <w:t xml:space="preserve">yes</w:t>
            </w:r>
          </w:p>
        </w:tc>
        <w:tc>
          <w:tcPr/>
          <w:p>
            <w:pPr>
              <w:pStyle w:val="Compact"/>
              <w:jc w:val="left"/>
            </w:pPr>
            <w:r>
              <w:t xml:space="preserve">162 (0.7%)</w:t>
            </w:r>
          </w:p>
        </w:tc>
        <w:tc>
          <w:tcPr/>
          <w:p>
            <w:pPr>
              <w:pStyle w:val="Compact"/>
              <w:jc w:val="left"/>
            </w:pPr>
            <w:r>
              <w:t xml:space="preserve">92 (0.5%)</w:t>
            </w:r>
          </w:p>
        </w:tc>
        <w:tc>
          <w:tcPr/>
          <w:p>
            <w:pPr>
              <w:pStyle w:val="Compact"/>
              <w:jc w:val="left"/>
            </w:pPr>
            <w:r>
              <w:t xml:space="preserve">42 (1.0%)</w:t>
            </w:r>
          </w:p>
        </w:tc>
        <w:tc>
          <w:tcPr/>
          <w:p>
            <w:pPr>
              <w:pStyle w:val="Compact"/>
              <w:jc w:val="left"/>
            </w:pPr>
            <w:r>
              <w:t xml:space="preserve">20 (1.9%)</w:t>
            </w:r>
          </w:p>
        </w:tc>
        <w:tc>
          <w:tcPr/>
          <w:p>
            <w:pPr>
              <w:pStyle w:val="Compact"/>
              <w:jc w:val="left"/>
            </w:pPr>
            <w:r>
              <w:t xml:space="preserve">8 (2.0%)</w:t>
            </w:r>
          </w:p>
        </w:tc>
        <w:tc>
          <w:tcPr/>
          <w:p>
            <w:pPr>
              <w:pStyle w:val="Compact"/>
              <w:jc w:val="left"/>
            </w:pPr>
            <w:r>
              <w:t xml:space="preserve">&lt;0.001</w:t>
            </w:r>
          </w:p>
        </w:tc>
      </w:tr>
    </w:tbl>
    <w:p>
      <w:pPr>
        <w:pStyle w:val="BodyText"/>
      </w:pPr>
      <w:r>
        <w:rPr>
          <w:iCs/>
          <w:i/>
        </w:rPr>
        <w:t xml:space="preserve">n (%) of known values or median (IQR); P from χ² or Kruskal–Wallis tests. Full table in the supplement.</w:t>
      </w:r>
    </w:p>
    <w:p>
      <w:pPr>
        <w:pStyle w:val="BodyText"/>
      </w:pPr>
      <w:r>
        <w:rPr>
          <w:bCs/>
          <w:b/>
        </w:rPr>
        <w:t xml:space="preserve">Table 2. Baseline anemia and incident stroke (excluding TIA)</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Baseline Hb</w:t>
            </w:r>
          </w:p>
        </w:tc>
        <w:tc>
          <w:tcPr/>
          <w:p>
            <w:pPr>
              <w:pStyle w:val="Compact"/>
              <w:jc w:val="left"/>
            </w:pPr>
            <w:r>
              <w:t xml:space="preserve">Women</w:t>
            </w:r>
          </w:p>
        </w:tc>
        <w:tc>
          <w:tcPr/>
          <w:p>
            <w:pPr>
              <w:pStyle w:val="Compact"/>
              <w:jc w:val="left"/>
            </w:pPr>
            <w:r>
              <w:t xml:space="preserve">Strokes</w:t>
            </w:r>
          </w:p>
        </w:tc>
        <w:tc>
          <w:tcPr/>
          <w:p>
            <w:pPr>
              <w:pStyle w:val="Compact"/>
              <w:jc w:val="left"/>
            </w:pPr>
            <w:r>
              <w:t xml:space="preserve">Person-years</w:t>
            </w:r>
          </w:p>
        </w:tc>
        <w:tc>
          <w:tcPr/>
          <w:p>
            <w:pPr>
              <w:pStyle w:val="Compact"/>
              <w:jc w:val="left"/>
            </w:pPr>
            <w:r>
              <w:t xml:space="preserve">Rate /1,000 PY (95% CI)</w:t>
            </w:r>
          </w:p>
        </w:tc>
        <w:tc>
          <w:tcPr/>
          <w:p>
            <w:pPr>
              <w:pStyle w:val="Compact"/>
              <w:jc w:val="left"/>
            </w:pPr>
            <w:r>
              <w:t xml:space="preserve">5-y cumulative incidence, % (95% CI)</w:t>
            </w:r>
          </w:p>
        </w:tc>
        <w:tc>
          <w:tcPr/>
          <w:p>
            <w:pPr>
              <w:pStyle w:val="Compact"/>
              <w:jc w:val="left"/>
            </w:pPr>
            <w:r>
              <w:t xml:space="preserve">Adjusted rate ratio (95% CI)</w:t>
            </w:r>
          </w:p>
        </w:tc>
        <w:tc>
          <w:tcPr/>
          <w:p>
            <w:pPr>
              <w:pStyle w:val="Compact"/>
              <w:jc w:val="left"/>
            </w:pPr>
            <w:r>
              <w:t xml:space="preserve">Adjusted hazard ratio (95% CI)</w:t>
            </w:r>
          </w:p>
        </w:tc>
      </w:tr>
      <w:tr>
        <w:tc>
          <w:tcPr/>
          <w:p>
            <w:pPr>
              <w:pStyle w:val="Compact"/>
              <w:jc w:val="left"/>
            </w:pPr>
            <w:r>
              <w:t xml:space="preserve">No anemia (Hb ≥12)</w:t>
            </w:r>
          </w:p>
        </w:tc>
        <w:tc>
          <w:tcPr/>
          <w:p>
            <w:pPr>
              <w:pStyle w:val="Compact"/>
              <w:jc w:val="left"/>
            </w:pPr>
            <w:r>
              <w:t xml:space="preserve">19400</w:t>
            </w:r>
          </w:p>
        </w:tc>
        <w:tc>
          <w:tcPr/>
          <w:p>
            <w:pPr>
              <w:pStyle w:val="Compact"/>
              <w:jc w:val="left"/>
            </w:pPr>
            <w:r>
              <w:t xml:space="preserve">236</w:t>
            </w:r>
          </w:p>
        </w:tc>
        <w:tc>
          <w:tcPr/>
          <w:p>
            <w:pPr>
              <w:pStyle w:val="Compact"/>
              <w:jc w:val="left"/>
            </w:pPr>
            <w:r>
              <w:t xml:space="preserve">64328</w:t>
            </w:r>
          </w:p>
        </w:tc>
        <w:tc>
          <w:tcPr/>
          <w:p>
            <w:pPr>
              <w:pStyle w:val="Compact"/>
              <w:jc w:val="left"/>
            </w:pPr>
            <w:r>
              <w:t xml:space="preserve">3.67 (3.22–4.17)</w:t>
            </w:r>
          </w:p>
        </w:tc>
        <w:tc>
          <w:tcPr/>
          <w:p>
            <w:pPr>
              <w:pStyle w:val="Compact"/>
              <w:jc w:val="left"/>
            </w:pPr>
            <w:r>
              <w:t xml:space="preserve">1.8 (1.5–2.0)</w:t>
            </w:r>
          </w:p>
        </w:tc>
        <w:tc>
          <w:tcPr/>
          <w:p>
            <w:pPr>
              <w:pStyle w:val="Compact"/>
              <w:jc w:val="left"/>
            </w:pPr>
            <w:r>
              <w:t xml:space="preserve">1.00 (reference)</w:t>
            </w:r>
          </w:p>
        </w:tc>
        <w:tc>
          <w:tcPr/>
          <w:p>
            <w:pPr>
              <w:pStyle w:val="Compact"/>
              <w:jc w:val="left"/>
            </w:pPr>
            <w:r>
              <w:t xml:space="preserve">1.00 (reference)</w:t>
            </w:r>
          </w:p>
        </w:tc>
      </w:tr>
      <w:tr>
        <w:tc>
          <w:tcPr/>
          <w:p>
            <w:pPr>
              <w:pStyle w:val="Compact"/>
              <w:jc w:val="left"/>
            </w:pPr>
            <w:r>
              <w:t xml:space="preserve">Mild (10.0–11.9)</w:t>
            </w:r>
          </w:p>
        </w:tc>
        <w:tc>
          <w:tcPr/>
          <w:p>
            <w:pPr>
              <w:pStyle w:val="Compact"/>
              <w:jc w:val="left"/>
            </w:pPr>
            <w:r>
              <w:t xml:space="preserve">4008</w:t>
            </w:r>
          </w:p>
        </w:tc>
        <w:tc>
          <w:tcPr/>
          <w:p>
            <w:pPr>
              <w:pStyle w:val="Compact"/>
              <w:jc w:val="left"/>
            </w:pPr>
            <w:r>
              <w:t xml:space="preserve">76</w:t>
            </w:r>
          </w:p>
        </w:tc>
        <w:tc>
          <w:tcPr/>
          <w:p>
            <w:pPr>
              <w:pStyle w:val="Compact"/>
              <w:jc w:val="left"/>
            </w:pPr>
            <w:r>
              <w:t xml:space="preserve">13123</w:t>
            </w:r>
          </w:p>
        </w:tc>
        <w:tc>
          <w:tcPr/>
          <w:p>
            <w:pPr>
              <w:pStyle w:val="Compact"/>
              <w:jc w:val="left"/>
            </w:pPr>
            <w:r>
              <w:t xml:space="preserve">5.79 (4.56–7.25)</w:t>
            </w:r>
          </w:p>
        </w:tc>
        <w:tc>
          <w:tcPr/>
          <w:p>
            <w:pPr>
              <w:pStyle w:val="Compact"/>
              <w:jc w:val="left"/>
            </w:pPr>
            <w:r>
              <w:t xml:space="preserve">2.6 (2.0–3.3)</w:t>
            </w:r>
          </w:p>
        </w:tc>
        <w:tc>
          <w:tcPr/>
          <w:p>
            <w:pPr>
              <w:pStyle w:val="Compact"/>
              <w:jc w:val="left"/>
            </w:pPr>
            <w:r>
              <w:t xml:space="preserve">1.49 (1.14–1.96)</w:t>
            </w:r>
          </w:p>
        </w:tc>
        <w:tc>
          <w:tcPr/>
          <w:p>
            <w:pPr>
              <w:pStyle w:val="Compact"/>
              <w:jc w:val="left"/>
            </w:pPr>
            <w:r>
              <w:t xml:space="preserve">1.48 (1.14–1.94)</w:t>
            </w:r>
          </w:p>
        </w:tc>
      </w:tr>
      <w:tr>
        <w:tc>
          <w:tcPr/>
          <w:p>
            <w:pPr>
              <w:pStyle w:val="Compact"/>
              <w:jc w:val="left"/>
            </w:pPr>
            <w:r>
              <w:t xml:space="preserve">Moderate (8.0–9.9)</w:t>
            </w:r>
          </w:p>
        </w:tc>
        <w:tc>
          <w:tcPr/>
          <w:p>
            <w:pPr>
              <w:pStyle w:val="Compact"/>
              <w:jc w:val="left"/>
            </w:pPr>
            <w:r>
              <w:t xml:space="preserve">1062</w:t>
            </w:r>
          </w:p>
        </w:tc>
        <w:tc>
          <w:tcPr/>
          <w:p>
            <w:pPr>
              <w:pStyle w:val="Compact"/>
              <w:jc w:val="left"/>
            </w:pPr>
            <w:r>
              <w:t xml:space="preserve">22</w:t>
            </w:r>
          </w:p>
        </w:tc>
        <w:tc>
          <w:tcPr/>
          <w:p>
            <w:pPr>
              <w:pStyle w:val="Compact"/>
              <w:jc w:val="left"/>
            </w:pPr>
            <w:r>
              <w:t xml:space="preserve">3508</w:t>
            </w:r>
          </w:p>
        </w:tc>
        <w:tc>
          <w:tcPr/>
          <w:p>
            <w:pPr>
              <w:pStyle w:val="Compact"/>
              <w:jc w:val="left"/>
            </w:pPr>
            <w:r>
              <w:t xml:space="preserve">6.27 (3.93–9.49)</w:t>
            </w:r>
          </w:p>
        </w:tc>
        <w:tc>
          <w:tcPr/>
          <w:p>
            <w:pPr>
              <w:pStyle w:val="Compact"/>
              <w:jc w:val="left"/>
            </w:pPr>
            <w:r>
              <w:t xml:space="preserve">2.9 (1.9–4.6)</w:t>
            </w:r>
          </w:p>
        </w:tc>
        <w:tc>
          <w:tcPr/>
          <w:p>
            <w:pPr>
              <w:pStyle w:val="Compact"/>
              <w:jc w:val="left"/>
            </w:pPr>
            <w:r>
              <w:t xml:space="preserve">1.49 (0.96–2.31)</w:t>
            </w:r>
          </w:p>
        </w:tc>
        <w:tc>
          <w:tcPr/>
          <w:p>
            <w:pPr>
              <w:pStyle w:val="Compact"/>
              <w:jc w:val="left"/>
            </w:pPr>
            <w:r>
              <w:t xml:space="preserve">1.48 (0.94–2.31)</w:t>
            </w:r>
          </w:p>
        </w:tc>
      </w:tr>
      <w:tr>
        <w:tc>
          <w:tcPr/>
          <w:p>
            <w:pPr>
              <w:pStyle w:val="Compact"/>
              <w:jc w:val="left"/>
            </w:pPr>
            <w:r>
              <w:t xml:space="preserve">Severe (&lt;8.0)</w:t>
            </w:r>
          </w:p>
        </w:tc>
        <w:tc>
          <w:tcPr/>
          <w:p>
            <w:pPr>
              <w:pStyle w:val="Compact"/>
              <w:jc w:val="left"/>
            </w:pPr>
            <w:r>
              <w:t xml:space="preserve">401</w:t>
            </w:r>
          </w:p>
        </w:tc>
        <w:tc>
          <w:tcPr/>
          <w:p>
            <w:pPr>
              <w:pStyle w:val="Compact"/>
              <w:jc w:val="left"/>
            </w:pPr>
            <w:r>
              <w:t xml:space="preserve">8</w:t>
            </w:r>
          </w:p>
        </w:tc>
        <w:tc>
          <w:tcPr/>
          <w:p>
            <w:pPr>
              <w:pStyle w:val="Compact"/>
              <w:jc w:val="left"/>
            </w:pPr>
            <w:r>
              <w:t xml:space="preserve">1216</w:t>
            </w:r>
          </w:p>
        </w:tc>
        <w:tc>
          <w:tcPr/>
          <w:p>
            <w:pPr>
              <w:pStyle w:val="Compact"/>
              <w:jc w:val="left"/>
            </w:pPr>
            <w:r>
              <w:t xml:space="preserve">6.58 (2.84–12.96)</w:t>
            </w:r>
          </w:p>
        </w:tc>
        <w:tc>
          <w:tcPr/>
          <w:p>
            <w:pPr>
              <w:pStyle w:val="Compact"/>
              <w:jc w:val="left"/>
            </w:pPr>
            <w:r>
              <w:t xml:space="preserve">3.1 (1.5–6.4)</w:t>
            </w:r>
          </w:p>
        </w:tc>
        <w:tc>
          <w:tcPr/>
          <w:p>
            <w:pPr>
              <w:pStyle w:val="Compact"/>
              <w:jc w:val="left"/>
            </w:pPr>
            <w:r>
              <w:t xml:space="preserve">1.64 (0.79–3.40)</w:t>
            </w:r>
          </w:p>
        </w:tc>
        <w:tc>
          <w:tcPr/>
          <w:p>
            <w:pPr>
              <w:pStyle w:val="Compact"/>
              <w:jc w:val="left"/>
            </w:pPr>
            <w:r>
              <w:t xml:space="preserve">1.60 (0.78–3.28)</w:t>
            </w:r>
          </w:p>
        </w:tc>
      </w:tr>
      <w:tr>
        <w:tc>
          <w:tcPr/>
          <w:p>
            <w:pPr>
              <w:pStyle w:val="Compact"/>
              <w:jc w:val="left"/>
            </w:pPr>
            <w:r>
              <w:t xml:space="preserve">Any anemia (Hb &lt;12)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1.50 (1.18–1.91)</w:t>
            </w:r>
          </w:p>
        </w:tc>
        <w:tc>
          <w:tcPr/>
          <w:p>
            <w:pPr>
              <w:pStyle w:val="Compact"/>
            </w:pPr>
          </w:p>
        </w:tc>
      </w:tr>
      <w:tr>
        <w:tc>
          <w:tcPr/>
          <w:p>
            <w:pPr>
              <w:pStyle w:val="Compact"/>
              <w:jc w:val="left"/>
            </w:pPr>
            <w:r>
              <w:t xml:space="preserve">Per grade (trend)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1.26 (1.09–1.45)</w:t>
            </w:r>
          </w:p>
        </w:tc>
        <w:tc>
          <w:tcPr/>
          <w:p>
            <w:pPr>
              <w:pStyle w:val="Compact"/>
              <w:jc w:val="left"/>
            </w:pPr>
            <w:r>
              <w:t xml:space="preserve">1.25 (1.08–1.45)</w:t>
            </w:r>
          </w:p>
        </w:tc>
      </w:tr>
    </w:tbl>
    <w:p>
      <w:pPr>
        <w:pStyle w:val="BodyText"/>
      </w:pPr>
      <w:r>
        <w:rPr>
          <w:iCs/>
          <w:i/>
        </w:rPr>
        <w:t xml:space="preserve">Poisson (robust SE) and Cox models adjusted for age, race, BMI, smoking, hypertension, diabetes, dyslipidemia, CAD, migraine, hormonal therapy, uterine diagnosis group and pre-index anemia-causing conditions; 20 imputations for BMI; n = 24,871. Cumulative incidence by Aalen–Johansen with death as competing event. Per 1 g/dL lower Hb below 13 g/dL: RR 1.14 (1.05–1.23).</w:t>
      </w:r>
    </w:p>
    <w:p>
      <w:pPr>
        <w:pStyle w:val="BodyText"/>
      </w:pPr>
      <w:r>
        <w:rPr>
          <w:bCs/>
          <w:b/>
        </w:rPr>
        <w:t xml:space="preserve">Table 3. Secondary incident outcomes (exploratory)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Outcome</w:t>
            </w:r>
          </w:p>
        </w:tc>
        <w:tc>
          <w:tcPr/>
          <w:p>
            <w:pPr>
              <w:pStyle w:val="Compact"/>
              <w:jc w:val="left"/>
            </w:pPr>
            <w:r>
              <w:t xml:space="preserve">Level</w:t>
            </w:r>
          </w:p>
        </w:tc>
        <w:tc>
          <w:tcPr/>
          <w:p>
            <w:pPr>
              <w:pStyle w:val="Compact"/>
              <w:jc w:val="left"/>
            </w:pPr>
            <w:r>
              <w:t xml:space="preserve">Rate ratio (95% CI)</w:t>
            </w:r>
          </w:p>
        </w:tc>
        <w:tc>
          <w:tcPr/>
          <w:p>
            <w:pPr>
              <w:pStyle w:val="Compact"/>
              <w:jc w:val="left"/>
            </w:pPr>
            <w:r>
              <w:t xml:space="preserve">Events</w:t>
            </w:r>
          </w:p>
        </w:tc>
        <w:tc>
          <w:tcPr/>
          <w:p>
            <w:pPr>
              <w:pStyle w:val="Compact"/>
              <w:jc w:val="left"/>
            </w:pPr>
            <w:r>
              <w:t xml:space="preserve">Adjustment</w:t>
            </w:r>
          </w:p>
        </w:tc>
        <w:tc>
          <w:tcPr/>
          <w:p>
            <w:pPr>
              <w:pStyle w:val="Compact"/>
              <w:jc w:val="left"/>
            </w:pPr>
            <w:r>
              <w:t xml:space="preserve">q</w:t>
            </w:r>
          </w:p>
        </w:tc>
        <w:tc>
          <w:tcPr/>
          <w:p>
            <w:pPr>
              <w:pStyle w:val="Compact"/>
              <w:jc w:val="left"/>
            </w:pPr>
            <w:r>
              <w:t xml:space="preserve">Note</w:t>
            </w:r>
          </w:p>
        </w:tc>
      </w:tr>
      <w:tr>
        <w:tc>
          <w:tcPr/>
          <w:p>
            <w:pPr>
              <w:pStyle w:val="Compact"/>
              <w:jc w:val="left"/>
            </w:pPr>
            <w:r>
              <w:t xml:space="preserve">Ischemic stroke</w:t>
            </w:r>
          </w:p>
        </w:tc>
        <w:tc>
          <w:tcPr/>
          <w:p>
            <w:pPr>
              <w:pStyle w:val="Compact"/>
              <w:jc w:val="left"/>
            </w:pPr>
            <w:r>
              <w:t xml:space="preserve">Mild</w:t>
            </w:r>
          </w:p>
        </w:tc>
        <w:tc>
          <w:tcPr/>
          <w:p>
            <w:pPr>
              <w:pStyle w:val="Compact"/>
              <w:jc w:val="left"/>
            </w:pPr>
            <w:r>
              <w:t xml:space="preserve">1.51 (1.14–2.00)</w:t>
            </w:r>
          </w:p>
        </w:tc>
        <w:tc>
          <w:tcPr/>
          <w:p>
            <w:pPr>
              <w:pStyle w:val="Compact"/>
              <w:jc w:val="left"/>
            </w:pPr>
            <w:r>
              <w:t xml:space="preserve">298</w:t>
            </w:r>
          </w:p>
        </w:tc>
        <w:tc>
          <w:tcPr/>
          <w:p>
            <w:pPr>
              <w:pStyle w:val="Compact"/>
              <w:jc w:val="left"/>
            </w:pPr>
            <w:r>
              <w:t xml:space="preserve">reduced pre-declared set (EPV&lt;10 with full set)</w:t>
            </w:r>
          </w:p>
        </w:tc>
        <w:tc>
          <w:tcPr/>
          <w:p>
            <w:pPr>
              <w:pStyle w:val="Compact"/>
            </w:pPr>
          </w:p>
        </w:tc>
        <w:tc>
          <w:tcPr/>
          <w:p>
            <w:pPr>
              <w:pStyle w:val="Compact"/>
            </w:pPr>
          </w:p>
        </w:tc>
      </w:tr>
      <w:tr>
        <w:tc>
          <w:tcPr/>
          <w:p>
            <w:pPr>
              <w:pStyle w:val="Compact"/>
              <w:jc w:val="left"/>
            </w:pPr>
            <w:r>
              <w:t xml:space="preserve">Ischemic stroke</w:t>
            </w:r>
          </w:p>
        </w:tc>
        <w:tc>
          <w:tcPr/>
          <w:p>
            <w:pPr>
              <w:pStyle w:val="Compact"/>
              <w:jc w:val="left"/>
            </w:pPr>
            <w:r>
              <w:t xml:space="preserve">Moderate</w:t>
            </w:r>
          </w:p>
        </w:tc>
        <w:tc>
          <w:tcPr/>
          <w:p>
            <w:pPr>
              <w:pStyle w:val="Compact"/>
              <w:jc w:val="left"/>
            </w:pPr>
            <w:r>
              <w:t xml:space="preserve">1.62 (1.02–2.56)</w:t>
            </w:r>
          </w:p>
        </w:tc>
        <w:tc>
          <w:tcPr/>
          <w:p>
            <w:pPr>
              <w:pStyle w:val="Compact"/>
              <w:jc w:val="left"/>
            </w:pPr>
            <w:r>
              <w:t xml:space="preserve">298</w:t>
            </w:r>
          </w:p>
        </w:tc>
        <w:tc>
          <w:tcPr/>
          <w:p>
            <w:pPr>
              <w:pStyle w:val="Compact"/>
              <w:jc w:val="left"/>
            </w:pPr>
            <w:r>
              <w:t xml:space="preserve">reduced pre-declared set (EPV&lt;10 with full set)</w:t>
            </w:r>
          </w:p>
        </w:tc>
        <w:tc>
          <w:tcPr/>
          <w:p>
            <w:pPr>
              <w:pStyle w:val="Compact"/>
            </w:pPr>
          </w:p>
        </w:tc>
        <w:tc>
          <w:tcPr/>
          <w:p>
            <w:pPr>
              <w:pStyle w:val="Compact"/>
            </w:pPr>
          </w:p>
        </w:tc>
      </w:tr>
      <w:tr>
        <w:tc>
          <w:tcPr/>
          <w:p>
            <w:pPr>
              <w:pStyle w:val="Compact"/>
              <w:jc w:val="left"/>
            </w:pPr>
            <w:r>
              <w:t xml:space="preserve">Ischemic stroke</w:t>
            </w:r>
          </w:p>
        </w:tc>
        <w:tc>
          <w:tcPr/>
          <w:p>
            <w:pPr>
              <w:pStyle w:val="Compact"/>
              <w:jc w:val="left"/>
            </w:pPr>
            <w:r>
              <w:t xml:space="preserve">Severe</w:t>
            </w:r>
          </w:p>
        </w:tc>
        <w:tc>
          <w:tcPr/>
          <w:p>
            <w:pPr>
              <w:pStyle w:val="Compact"/>
              <w:jc w:val="left"/>
            </w:pPr>
            <w:r>
              <w:t xml:space="preserve">1.30 (0.54–3.17)</w:t>
            </w:r>
          </w:p>
        </w:tc>
        <w:tc>
          <w:tcPr/>
          <w:p>
            <w:pPr>
              <w:pStyle w:val="Compact"/>
              <w:jc w:val="left"/>
            </w:pPr>
            <w:r>
              <w:t xml:space="preserve">298</w:t>
            </w:r>
          </w:p>
        </w:tc>
        <w:tc>
          <w:tcPr/>
          <w:p>
            <w:pPr>
              <w:pStyle w:val="Compact"/>
              <w:jc w:val="left"/>
            </w:pPr>
            <w:r>
              <w:t xml:space="preserve">reduced pre-declared set (EPV&lt;10 with full set)</w:t>
            </w:r>
          </w:p>
        </w:tc>
        <w:tc>
          <w:tcPr/>
          <w:p>
            <w:pPr>
              <w:pStyle w:val="Compact"/>
            </w:pPr>
          </w:p>
        </w:tc>
        <w:tc>
          <w:tcPr/>
          <w:p>
            <w:pPr>
              <w:pStyle w:val="Compact"/>
            </w:pPr>
          </w:p>
        </w:tc>
      </w:tr>
      <w:tr>
        <w:tc>
          <w:tcPr/>
          <w:p>
            <w:pPr>
              <w:pStyle w:val="Compact"/>
              <w:jc w:val="left"/>
            </w:pPr>
            <w:r>
              <w:t xml:space="preserve">Ischemic stroke</w:t>
            </w:r>
          </w:p>
        </w:tc>
        <w:tc>
          <w:tcPr/>
          <w:p>
            <w:pPr>
              <w:pStyle w:val="Compact"/>
              <w:jc w:val="left"/>
            </w:pPr>
            <w:r>
              <w:t xml:space="preserve">Per grade (trend)</w:t>
            </w:r>
          </w:p>
        </w:tc>
        <w:tc>
          <w:tcPr/>
          <w:p>
            <w:pPr>
              <w:pStyle w:val="Compact"/>
              <w:jc w:val="left"/>
            </w:pPr>
            <w:r>
              <w:t xml:space="preserve">1.26 (1.09–1.46)</w:t>
            </w:r>
          </w:p>
        </w:tc>
        <w:tc>
          <w:tcPr/>
          <w:p>
            <w:pPr>
              <w:pStyle w:val="Compact"/>
              <w:jc w:val="left"/>
            </w:pPr>
            <w:r>
              <w:t xml:space="preserve">298</w:t>
            </w:r>
          </w:p>
        </w:tc>
        <w:tc>
          <w:tcPr/>
          <w:p>
            <w:pPr>
              <w:pStyle w:val="Compact"/>
              <w:jc w:val="left"/>
            </w:pPr>
            <w:r>
              <w:t xml:space="preserve">reduced pre-declared set (EPV&lt;10 with full set)</w:t>
            </w:r>
          </w:p>
        </w:tc>
        <w:tc>
          <w:tcPr/>
          <w:p>
            <w:pPr>
              <w:pStyle w:val="Compact"/>
              <w:jc w:val="left"/>
            </w:pPr>
            <w:r>
              <w:t xml:space="preserve">0.011</w:t>
            </w:r>
          </w:p>
        </w:tc>
        <w:tc>
          <w:tcPr/>
          <w:p>
            <w:pPr>
              <w:pStyle w:val="Compact"/>
            </w:pPr>
          </w:p>
        </w:tc>
      </w:tr>
      <w:tr>
        <w:tc>
          <w:tcPr/>
          <w:p>
            <w:pPr>
              <w:pStyle w:val="Compact"/>
              <w:jc w:val="left"/>
            </w:pPr>
            <w:r>
              <w:t xml:space="preserve">Ischemic stroke</w:t>
            </w:r>
          </w:p>
        </w:tc>
        <w:tc>
          <w:tcPr/>
          <w:p>
            <w:pPr>
              <w:pStyle w:val="Compact"/>
              <w:jc w:val="left"/>
            </w:pPr>
            <w:r>
              <w:t xml:space="preserve">Any anemia (Hb &lt;12)</w:t>
            </w:r>
          </w:p>
        </w:tc>
        <w:tc>
          <w:tcPr/>
          <w:p>
            <w:pPr>
              <w:pStyle w:val="Compact"/>
              <w:jc w:val="left"/>
            </w:pPr>
            <w:r>
              <w:t xml:space="preserve">1.52 (1.18–1.95)</w:t>
            </w:r>
          </w:p>
        </w:tc>
        <w:tc>
          <w:tcPr/>
          <w:p>
            <w:pPr>
              <w:pStyle w:val="Compact"/>
              <w:jc w:val="left"/>
            </w:pPr>
            <w:r>
              <w:t xml:space="preserve">298</w:t>
            </w:r>
          </w:p>
        </w:tc>
        <w:tc>
          <w:tcPr/>
          <w:p>
            <w:pPr>
              <w:pStyle w:val="Compact"/>
              <w:jc w:val="left"/>
            </w:pPr>
            <w:r>
              <w:t xml:space="preserve">reduced pre-declared set (EPV&lt;10 with full set)</w:t>
            </w:r>
          </w:p>
        </w:tc>
        <w:tc>
          <w:tcPr/>
          <w:p>
            <w:pPr>
              <w:pStyle w:val="Compact"/>
            </w:pPr>
          </w:p>
        </w:tc>
        <w:tc>
          <w:tcPr/>
          <w:p>
            <w:pPr>
              <w:pStyle w:val="Compact"/>
            </w:pPr>
          </w:p>
        </w:tc>
      </w:tr>
      <w:tr>
        <w:tc>
          <w:tcPr/>
          <w:p>
            <w:pPr>
              <w:pStyle w:val="Compact"/>
              <w:jc w:val="left"/>
            </w:pPr>
            <w:r>
              <w:t xml:space="preserve">Stroke or TIA (Codebook stroke_any)</w:t>
            </w:r>
          </w:p>
        </w:tc>
        <w:tc>
          <w:tcPr/>
          <w:p>
            <w:pPr>
              <w:pStyle w:val="Compact"/>
              <w:jc w:val="left"/>
            </w:pPr>
            <w:r>
              <w:t xml:space="preserve">Mild</w:t>
            </w:r>
          </w:p>
        </w:tc>
        <w:tc>
          <w:tcPr/>
          <w:p>
            <w:pPr>
              <w:pStyle w:val="Compact"/>
              <w:jc w:val="left"/>
            </w:pPr>
            <w:r>
              <w:t xml:space="preserve">1.51 (1.19–1.92)</w:t>
            </w:r>
          </w:p>
        </w:tc>
        <w:tc>
          <w:tcPr/>
          <w:p>
            <w:pPr>
              <w:pStyle w:val="Compact"/>
              <w:jc w:val="left"/>
            </w:pPr>
            <w:r>
              <w:t xml:space="preserve">427</w:t>
            </w:r>
          </w:p>
        </w:tc>
        <w:tc>
          <w:tcPr/>
          <w:p>
            <w:pPr>
              <w:pStyle w:val="Compact"/>
              <w:jc w:val="left"/>
            </w:pPr>
            <w:r>
              <w:t xml:space="preserve">full adjustment</w:t>
            </w:r>
          </w:p>
        </w:tc>
        <w:tc>
          <w:tcPr/>
          <w:p>
            <w:pPr>
              <w:pStyle w:val="Compact"/>
            </w:pPr>
          </w:p>
        </w:tc>
        <w:tc>
          <w:tcPr/>
          <w:p>
            <w:pPr>
              <w:pStyle w:val="Compact"/>
            </w:pPr>
          </w:p>
        </w:tc>
      </w:tr>
      <w:tr>
        <w:tc>
          <w:tcPr/>
          <w:p>
            <w:pPr>
              <w:pStyle w:val="Compact"/>
              <w:jc w:val="left"/>
            </w:pPr>
            <w:r>
              <w:t xml:space="preserve">Stroke or TIA (Codebook stroke_any)</w:t>
            </w:r>
          </w:p>
        </w:tc>
        <w:tc>
          <w:tcPr/>
          <w:p>
            <w:pPr>
              <w:pStyle w:val="Compact"/>
              <w:jc w:val="left"/>
            </w:pPr>
            <w:r>
              <w:t xml:space="preserve">Moderate</w:t>
            </w:r>
          </w:p>
        </w:tc>
        <w:tc>
          <w:tcPr/>
          <w:p>
            <w:pPr>
              <w:pStyle w:val="Compact"/>
              <w:jc w:val="left"/>
            </w:pPr>
            <w:r>
              <w:t xml:space="preserve">1.21 (0.79–1.87)</w:t>
            </w:r>
          </w:p>
        </w:tc>
        <w:tc>
          <w:tcPr/>
          <w:p>
            <w:pPr>
              <w:pStyle w:val="Compact"/>
              <w:jc w:val="left"/>
            </w:pPr>
            <w:r>
              <w:t xml:space="preserve">427</w:t>
            </w:r>
          </w:p>
        </w:tc>
        <w:tc>
          <w:tcPr/>
          <w:p>
            <w:pPr>
              <w:pStyle w:val="Compact"/>
              <w:jc w:val="left"/>
            </w:pPr>
            <w:r>
              <w:t xml:space="preserve">full adjustment</w:t>
            </w:r>
          </w:p>
        </w:tc>
        <w:tc>
          <w:tcPr/>
          <w:p>
            <w:pPr>
              <w:pStyle w:val="Compact"/>
            </w:pPr>
          </w:p>
        </w:tc>
        <w:tc>
          <w:tcPr/>
          <w:p>
            <w:pPr>
              <w:pStyle w:val="Compact"/>
            </w:pPr>
          </w:p>
        </w:tc>
      </w:tr>
      <w:tr>
        <w:tc>
          <w:tcPr/>
          <w:p>
            <w:pPr>
              <w:pStyle w:val="Compact"/>
              <w:jc w:val="left"/>
            </w:pPr>
            <w:r>
              <w:t xml:space="preserve">Stroke or TIA (Codebook stroke_any)</w:t>
            </w:r>
          </w:p>
        </w:tc>
        <w:tc>
          <w:tcPr/>
          <w:p>
            <w:pPr>
              <w:pStyle w:val="Compact"/>
              <w:jc w:val="left"/>
            </w:pPr>
            <w:r>
              <w:t xml:space="preserve">Severe</w:t>
            </w:r>
          </w:p>
        </w:tc>
        <w:tc>
          <w:tcPr/>
          <w:p>
            <w:pPr>
              <w:pStyle w:val="Compact"/>
              <w:jc w:val="left"/>
            </w:pPr>
            <w:r>
              <w:t xml:space="preserve">1.36 (0.66–2.81)</w:t>
            </w:r>
          </w:p>
        </w:tc>
        <w:tc>
          <w:tcPr/>
          <w:p>
            <w:pPr>
              <w:pStyle w:val="Compact"/>
              <w:jc w:val="left"/>
            </w:pPr>
            <w:r>
              <w:t xml:space="preserve">427</w:t>
            </w:r>
          </w:p>
        </w:tc>
        <w:tc>
          <w:tcPr/>
          <w:p>
            <w:pPr>
              <w:pStyle w:val="Compact"/>
              <w:jc w:val="left"/>
            </w:pPr>
            <w:r>
              <w:t xml:space="preserve">full adjustment</w:t>
            </w:r>
          </w:p>
        </w:tc>
        <w:tc>
          <w:tcPr/>
          <w:p>
            <w:pPr>
              <w:pStyle w:val="Compact"/>
            </w:pPr>
          </w:p>
        </w:tc>
        <w:tc>
          <w:tcPr/>
          <w:p>
            <w:pPr>
              <w:pStyle w:val="Compact"/>
            </w:pPr>
          </w:p>
        </w:tc>
      </w:tr>
      <w:tr>
        <w:tc>
          <w:tcPr/>
          <w:p>
            <w:pPr>
              <w:pStyle w:val="Compact"/>
              <w:jc w:val="left"/>
            </w:pPr>
            <w:r>
              <w:t xml:space="preserve">Stroke or TIA (Codebook stroke_any)</w:t>
            </w:r>
          </w:p>
        </w:tc>
        <w:tc>
          <w:tcPr/>
          <w:p>
            <w:pPr>
              <w:pStyle w:val="Compact"/>
              <w:jc w:val="left"/>
            </w:pPr>
            <w:r>
              <w:t xml:space="preserve">Per grade (trend)</w:t>
            </w:r>
          </w:p>
        </w:tc>
        <w:tc>
          <w:tcPr/>
          <w:p>
            <w:pPr>
              <w:pStyle w:val="Compact"/>
              <w:jc w:val="left"/>
            </w:pPr>
            <w:r>
              <w:t xml:space="preserve">1.20 (1.05–1.37)</w:t>
            </w:r>
          </w:p>
        </w:tc>
        <w:tc>
          <w:tcPr/>
          <w:p>
            <w:pPr>
              <w:pStyle w:val="Compact"/>
              <w:jc w:val="left"/>
            </w:pPr>
            <w:r>
              <w:t xml:space="preserve">427</w:t>
            </w:r>
          </w:p>
        </w:tc>
        <w:tc>
          <w:tcPr/>
          <w:p>
            <w:pPr>
              <w:pStyle w:val="Compact"/>
              <w:jc w:val="left"/>
            </w:pPr>
            <w:r>
              <w:t xml:space="preserve">full adjustment</w:t>
            </w:r>
          </w:p>
        </w:tc>
        <w:tc>
          <w:tcPr/>
          <w:p>
            <w:pPr>
              <w:pStyle w:val="Compact"/>
              <w:jc w:val="left"/>
            </w:pPr>
            <w:r>
              <w:t xml:space="preserve">0.019</w:t>
            </w:r>
          </w:p>
        </w:tc>
        <w:tc>
          <w:tcPr/>
          <w:p>
            <w:pPr>
              <w:pStyle w:val="Compact"/>
            </w:pPr>
          </w:p>
        </w:tc>
      </w:tr>
      <w:tr>
        <w:tc>
          <w:tcPr/>
          <w:p>
            <w:pPr>
              <w:pStyle w:val="Compact"/>
              <w:jc w:val="left"/>
            </w:pPr>
            <w:r>
              <w:t xml:space="preserve">Stroke or TIA (Codebook stroke_any)</w:t>
            </w:r>
          </w:p>
        </w:tc>
        <w:tc>
          <w:tcPr/>
          <w:p>
            <w:pPr>
              <w:pStyle w:val="Compact"/>
              <w:jc w:val="left"/>
            </w:pPr>
            <w:r>
              <w:t xml:space="preserve">Any anemia (Hb &lt;12)</w:t>
            </w:r>
          </w:p>
        </w:tc>
        <w:tc>
          <w:tcPr/>
          <w:p>
            <w:pPr>
              <w:pStyle w:val="Compact"/>
              <w:jc w:val="left"/>
            </w:pPr>
            <w:r>
              <w:t xml:space="preserve">1.44 (1.16–1.80)</w:t>
            </w:r>
          </w:p>
        </w:tc>
        <w:tc>
          <w:tcPr/>
          <w:p>
            <w:pPr>
              <w:pStyle w:val="Compact"/>
              <w:jc w:val="left"/>
            </w:pPr>
            <w:r>
              <w:t xml:space="preserve">427</w:t>
            </w:r>
          </w:p>
        </w:tc>
        <w:tc>
          <w:tcPr/>
          <w:p>
            <w:pPr>
              <w:pStyle w:val="Compact"/>
              <w:jc w:val="left"/>
            </w:pPr>
            <w:r>
              <w:t xml:space="preserve">full adjustment</w:t>
            </w:r>
          </w:p>
        </w:tc>
        <w:tc>
          <w:tcPr/>
          <w:p>
            <w:pPr>
              <w:pStyle w:val="Compact"/>
            </w:pPr>
          </w:p>
        </w:tc>
        <w:tc>
          <w:tcPr/>
          <w:p>
            <w:pPr>
              <w:pStyle w:val="Compact"/>
            </w:pPr>
          </w:p>
        </w:tc>
      </w:tr>
      <w:tr>
        <w:tc>
          <w:tcPr/>
          <w:p>
            <w:pPr>
              <w:pStyle w:val="Compact"/>
              <w:jc w:val="left"/>
            </w:pPr>
            <w:r>
              <w:t xml:space="preserve">TIA</w:t>
            </w:r>
          </w:p>
        </w:tc>
        <w:tc>
          <w:tcPr/>
          <w:p>
            <w:pPr>
              <w:pStyle w:val="Compact"/>
              <w:jc w:val="left"/>
            </w:pPr>
            <w:r>
              <w:t xml:space="preserve">Per grade (trend)</w:t>
            </w:r>
          </w:p>
        </w:tc>
        <w:tc>
          <w:tcPr/>
          <w:p>
            <w:pPr>
              <w:pStyle w:val="Compact"/>
              <w:jc w:val="left"/>
            </w:pPr>
            <w:r>
              <w:t xml:space="preserve">0.84 (0.63–1.14)</w:t>
            </w:r>
          </w:p>
        </w:tc>
        <w:tc>
          <w:tcPr/>
          <w:p>
            <w:pPr>
              <w:pStyle w:val="Compact"/>
              <w:jc w:val="left"/>
            </w:pPr>
            <w:r>
              <w:t xml:space="preserve">85</w:t>
            </w:r>
          </w:p>
        </w:tc>
        <w:tc>
          <w:tcPr/>
          <w:p>
            <w:pPr>
              <w:pStyle w:val="Compact"/>
              <w:jc w:val="left"/>
            </w:pPr>
            <w:r>
              <w:t xml:space="preserve">age + hypertension (few events)</w:t>
            </w:r>
          </w:p>
        </w:tc>
        <w:tc>
          <w:tcPr/>
          <w:p>
            <w:pPr>
              <w:pStyle w:val="Compact"/>
              <w:jc w:val="left"/>
            </w:pPr>
            <w:r>
              <w:t xml:space="preserve">0.337</w:t>
            </w:r>
          </w:p>
        </w:tc>
        <w:tc>
          <w:tcPr/>
          <w:p>
            <w:pPr>
              <w:pStyle w:val="Compact"/>
              <w:jc w:val="left"/>
            </w:pPr>
            <w:r>
              <w:t xml:space="preserve">grade categories not estimated (&lt;5 events in a level)</w:t>
            </w:r>
          </w:p>
        </w:tc>
      </w:tr>
      <w:tr>
        <w:tc>
          <w:tcPr/>
          <w:p>
            <w:pPr>
              <w:pStyle w:val="Compact"/>
              <w:jc w:val="left"/>
            </w:pPr>
            <w:r>
              <w:t xml:space="preserve">TIA</w:t>
            </w:r>
          </w:p>
        </w:tc>
        <w:tc>
          <w:tcPr/>
          <w:p>
            <w:pPr>
              <w:pStyle w:val="Compact"/>
              <w:jc w:val="left"/>
            </w:pPr>
            <w:r>
              <w:t xml:space="preserve">Any anemia (Hb &lt;12)</w:t>
            </w:r>
          </w:p>
        </w:tc>
        <w:tc>
          <w:tcPr/>
          <w:p>
            <w:pPr>
              <w:pStyle w:val="Compact"/>
              <w:jc w:val="left"/>
            </w:pPr>
            <w:r>
              <w:t xml:space="preserve">1.10 (0.66–1.81)</w:t>
            </w:r>
          </w:p>
        </w:tc>
        <w:tc>
          <w:tcPr/>
          <w:p>
            <w:pPr>
              <w:pStyle w:val="Compact"/>
              <w:jc w:val="left"/>
            </w:pPr>
            <w:r>
              <w:t xml:space="preserve">85</w:t>
            </w:r>
          </w:p>
        </w:tc>
        <w:tc>
          <w:tcPr/>
          <w:p>
            <w:pPr>
              <w:pStyle w:val="Compact"/>
              <w:jc w:val="left"/>
            </w:pPr>
            <w:r>
              <w:t xml:space="preserve">age + hypertension (few events)</w:t>
            </w:r>
          </w:p>
        </w:tc>
        <w:tc>
          <w:tcPr/>
          <w:p>
            <w:pPr>
              <w:pStyle w:val="Compact"/>
            </w:pPr>
          </w:p>
        </w:tc>
        <w:tc>
          <w:tcPr/>
          <w:p>
            <w:pPr>
              <w:pStyle w:val="Compact"/>
              <w:jc w:val="left"/>
            </w:pPr>
            <w:r>
              <w:t xml:space="preserve">grade categories not estimated (&lt;5 events in a level)</w:t>
            </w:r>
          </w:p>
        </w:tc>
      </w:tr>
      <w:tr>
        <w:tc>
          <w:tcPr/>
          <w:p>
            <w:pPr>
              <w:pStyle w:val="Compact"/>
              <w:jc w:val="left"/>
            </w:pPr>
            <w:r>
              <w:t xml:space="preserve">Intracerebral hemorrhage</w:t>
            </w:r>
          </w:p>
        </w:tc>
        <w:tc>
          <w:tcPr/>
          <w:p>
            <w:pPr>
              <w:pStyle w:val="Compact"/>
              <w:jc w:val="left"/>
            </w:pPr>
            <w:r>
              <w:t xml:space="preserve">Per grade (trend)</w:t>
            </w:r>
          </w:p>
        </w:tc>
        <w:tc>
          <w:tcPr/>
          <w:p>
            <w:pPr>
              <w:pStyle w:val="Compact"/>
              <w:jc w:val="left"/>
            </w:pPr>
            <w:r>
              <w:t xml:space="preserve">1.59 (0.93–2.71)</w:t>
            </w:r>
          </w:p>
        </w:tc>
        <w:tc>
          <w:tcPr/>
          <w:p>
            <w:pPr>
              <w:pStyle w:val="Compact"/>
              <w:jc w:val="left"/>
            </w:pPr>
            <w:r>
              <w:t xml:space="preserve">24</w:t>
            </w:r>
          </w:p>
        </w:tc>
        <w:tc>
          <w:tcPr/>
          <w:p>
            <w:pPr>
              <w:pStyle w:val="Compact"/>
              <w:jc w:val="left"/>
            </w:pPr>
            <w:r>
              <w:t xml:space="preserve">age + hypertension (few events)</w:t>
            </w:r>
          </w:p>
        </w:tc>
        <w:tc>
          <w:tcPr/>
          <w:p>
            <w:pPr>
              <w:pStyle w:val="Compact"/>
              <w:jc w:val="left"/>
            </w:pPr>
            <w:r>
              <w:t xml:space="preserve">0.148</w:t>
            </w:r>
          </w:p>
        </w:tc>
        <w:tc>
          <w:tcPr/>
          <w:p>
            <w:pPr>
              <w:pStyle w:val="Compact"/>
              <w:jc w:val="left"/>
            </w:pPr>
            <w:r>
              <w:t xml:space="preserve">grade categories not estimated (&lt;5 events in a level) EPV&lt;10: unstable, exploratory</w:t>
            </w:r>
          </w:p>
        </w:tc>
      </w:tr>
      <w:tr>
        <w:tc>
          <w:tcPr/>
          <w:p>
            <w:pPr>
              <w:pStyle w:val="Compact"/>
              <w:jc w:val="left"/>
            </w:pPr>
            <w:r>
              <w:t xml:space="preserve">Intracerebral hemorrhage</w:t>
            </w:r>
          </w:p>
        </w:tc>
        <w:tc>
          <w:tcPr/>
          <w:p>
            <w:pPr>
              <w:pStyle w:val="Compact"/>
              <w:jc w:val="left"/>
            </w:pPr>
            <w:r>
              <w:t xml:space="preserve">Any anemia (Hb &lt;12)</w:t>
            </w:r>
          </w:p>
        </w:tc>
        <w:tc>
          <w:tcPr/>
          <w:p>
            <w:pPr>
              <w:pStyle w:val="Compact"/>
              <w:jc w:val="left"/>
            </w:pPr>
            <w:r>
              <w:t xml:space="preserve">1.46 (0.61–3.49)</w:t>
            </w:r>
          </w:p>
        </w:tc>
        <w:tc>
          <w:tcPr/>
          <w:p>
            <w:pPr>
              <w:pStyle w:val="Compact"/>
              <w:jc w:val="left"/>
            </w:pPr>
            <w:r>
              <w:t xml:space="preserve">24</w:t>
            </w:r>
          </w:p>
        </w:tc>
        <w:tc>
          <w:tcPr/>
          <w:p>
            <w:pPr>
              <w:pStyle w:val="Compact"/>
              <w:jc w:val="left"/>
            </w:pPr>
            <w:r>
              <w:t xml:space="preserve">age + hypertension (few events)</w:t>
            </w:r>
          </w:p>
        </w:tc>
        <w:tc>
          <w:tcPr/>
          <w:p>
            <w:pPr>
              <w:pStyle w:val="Compact"/>
            </w:pPr>
          </w:p>
        </w:tc>
        <w:tc>
          <w:tcPr/>
          <w:p>
            <w:pPr>
              <w:pStyle w:val="Compact"/>
              <w:jc w:val="left"/>
            </w:pPr>
            <w:r>
              <w:t xml:space="preserve">grade categories not estimated (&lt;5 events in a level) EPV&lt;10: unstable, exploratory</w:t>
            </w:r>
          </w:p>
        </w:tc>
      </w:tr>
      <w:tr>
        <w:tc>
          <w:tcPr/>
          <w:p>
            <w:pPr>
              <w:pStyle w:val="Compact"/>
              <w:jc w:val="left"/>
            </w:pPr>
            <w:r>
              <w:t xml:space="preserve">Subarachnoid hemorrhage</w:t>
            </w:r>
          </w:p>
        </w:tc>
        <w:tc>
          <w:tcPr/>
          <w:p>
            <w:pPr>
              <w:pStyle w:val="Compact"/>
              <w:jc w:val="left"/>
            </w:pPr>
            <w:r>
              <w:t xml:space="preserve">Per grade (trend)</w:t>
            </w:r>
          </w:p>
        </w:tc>
        <w:tc>
          <w:tcPr/>
          <w:p>
            <w:pPr>
              <w:pStyle w:val="Compact"/>
              <w:jc w:val="left"/>
            </w:pPr>
            <w:r>
              <w:t xml:space="preserve">1.22 (0.67–2.24)</w:t>
            </w:r>
          </w:p>
        </w:tc>
        <w:tc>
          <w:tcPr/>
          <w:p>
            <w:pPr>
              <w:pStyle w:val="Compact"/>
              <w:jc w:val="left"/>
            </w:pPr>
            <w:r>
              <w:t xml:space="preserve">11</w:t>
            </w:r>
          </w:p>
        </w:tc>
        <w:tc>
          <w:tcPr/>
          <w:p>
            <w:pPr>
              <w:pStyle w:val="Compact"/>
              <w:jc w:val="left"/>
            </w:pPr>
            <w:r>
              <w:t xml:space="preserve">age + hypertension (few events)</w:t>
            </w:r>
          </w:p>
        </w:tc>
        <w:tc>
          <w:tcPr/>
          <w:p>
            <w:pPr>
              <w:pStyle w:val="Compact"/>
              <w:jc w:val="left"/>
            </w:pPr>
            <w:r>
              <w:t xml:space="preserve">0.514</w:t>
            </w:r>
          </w:p>
        </w:tc>
        <w:tc>
          <w:tcPr/>
          <w:p>
            <w:pPr>
              <w:pStyle w:val="Compact"/>
              <w:jc w:val="left"/>
            </w:pPr>
            <w:r>
              <w:t xml:space="preserve">grade categories not estimated (&lt;5 events in a level) EPV&lt;10: unstable, exploratory</w:t>
            </w:r>
          </w:p>
        </w:tc>
      </w:tr>
      <w:tr>
        <w:tc>
          <w:tcPr/>
          <w:p>
            <w:pPr>
              <w:pStyle w:val="Compact"/>
              <w:jc w:val="left"/>
            </w:pPr>
            <w:r>
              <w:t xml:space="preserve">Subarachnoid hemorrhage</w:t>
            </w:r>
          </w:p>
        </w:tc>
        <w:tc>
          <w:tcPr/>
          <w:p>
            <w:pPr>
              <w:pStyle w:val="Compact"/>
              <w:jc w:val="left"/>
            </w:pPr>
            <w:r>
              <w:t xml:space="preserve">Any anemia (Hb &lt;12)</w:t>
            </w:r>
          </w:p>
        </w:tc>
        <w:tc>
          <w:tcPr/>
          <w:p>
            <w:pPr>
              <w:pStyle w:val="Compact"/>
              <w:jc w:val="left"/>
            </w:pPr>
            <w:r>
              <w:t xml:space="preserve">2.13 (0.61–7.40)</w:t>
            </w:r>
          </w:p>
        </w:tc>
        <w:tc>
          <w:tcPr/>
          <w:p>
            <w:pPr>
              <w:pStyle w:val="Compact"/>
              <w:jc w:val="left"/>
            </w:pPr>
            <w:r>
              <w:t xml:space="preserve">11</w:t>
            </w:r>
          </w:p>
        </w:tc>
        <w:tc>
          <w:tcPr/>
          <w:p>
            <w:pPr>
              <w:pStyle w:val="Compact"/>
              <w:jc w:val="left"/>
            </w:pPr>
            <w:r>
              <w:t xml:space="preserve">age + hypertension (few events)</w:t>
            </w:r>
          </w:p>
        </w:tc>
        <w:tc>
          <w:tcPr/>
          <w:p>
            <w:pPr>
              <w:pStyle w:val="Compact"/>
            </w:pPr>
          </w:p>
        </w:tc>
        <w:tc>
          <w:tcPr/>
          <w:p>
            <w:pPr>
              <w:pStyle w:val="Compact"/>
              <w:jc w:val="left"/>
            </w:pPr>
            <w:r>
              <w:t xml:space="preserve">grade categories not estimated (&lt;5 events in a level) EPV&lt;10: unstable, exploratory</w:t>
            </w:r>
          </w:p>
        </w:tc>
      </w:tr>
      <w:tr>
        <w:tc>
          <w:tcPr/>
          <w:p>
            <w:pPr>
              <w:pStyle w:val="Compact"/>
              <w:jc w:val="left"/>
            </w:pPr>
            <w:r>
              <w:t xml:space="preserve">Cerebral venous thrombosis</w:t>
            </w:r>
          </w:p>
        </w:tc>
        <w:tc>
          <w:tcPr/>
          <w:p>
            <w:pPr>
              <w:pStyle w:val="Compact"/>
              <w:jc w:val="left"/>
            </w:pPr>
            <w:r>
              <w:t xml:space="preserve">not modeled</w:t>
            </w:r>
          </w:p>
        </w:tc>
        <w:tc>
          <w:tcPr/>
          <w:p>
            <w:pPr>
              <w:pStyle w:val="Compact"/>
              <w:jc w:val="left"/>
            </w:pPr>
            <w:r>
              <w:t xml:space="preserve">2 events (&lt;10): counts only</w:t>
            </w:r>
          </w:p>
        </w:tc>
        <w:tc>
          <w:tcPr/>
          <w:p>
            <w:pPr>
              <w:pStyle w:val="Compact"/>
              <w:jc w:val="left"/>
            </w:pPr>
            <w:r>
              <w:t xml:space="preserve">2</w:t>
            </w:r>
          </w:p>
        </w:tc>
        <w:tc>
          <w:tcPr/>
          <w:p>
            <w:pPr>
              <w:pStyle w:val="Compact"/>
            </w:pPr>
          </w:p>
        </w:tc>
        <w:tc>
          <w:tcPr/>
          <w:p>
            <w:pPr>
              <w:pStyle w:val="Compact"/>
            </w:pPr>
          </w:p>
        </w:tc>
        <w:tc>
          <w:tcPr/>
          <w:p>
            <w:pPr>
              <w:pStyle w:val="Compact"/>
            </w:pPr>
          </w:p>
        </w:tc>
      </w:tr>
      <w:tr>
        <w:tc>
          <w:tcPr/>
          <w:p>
            <w:pPr>
              <w:pStyle w:val="Compact"/>
              <w:jc w:val="left"/>
            </w:pPr>
            <w:r>
              <w:t xml:space="preserve">Stroke, unknown type</w:t>
            </w:r>
          </w:p>
        </w:tc>
        <w:tc>
          <w:tcPr/>
          <w:p>
            <w:pPr>
              <w:pStyle w:val="Compact"/>
              <w:jc w:val="left"/>
            </w:pPr>
            <w:r>
              <w:t xml:space="preserve">not modeled</w:t>
            </w:r>
          </w:p>
        </w:tc>
        <w:tc>
          <w:tcPr/>
          <w:p>
            <w:pPr>
              <w:pStyle w:val="Compact"/>
              <w:jc w:val="left"/>
            </w:pPr>
            <w:r>
              <w:t xml:space="preserve">7 events (&lt;10): counts only</w:t>
            </w:r>
          </w:p>
        </w:tc>
        <w:tc>
          <w:tcPr/>
          <w:p>
            <w:pPr>
              <w:pStyle w:val="Compact"/>
              <w:jc w:val="left"/>
            </w:pPr>
            <w:r>
              <w:t xml:space="preserve">7</w:t>
            </w:r>
          </w:p>
        </w:tc>
        <w:tc>
          <w:tcPr/>
          <w:p>
            <w:pPr>
              <w:pStyle w:val="Compact"/>
            </w:pPr>
          </w:p>
        </w:tc>
        <w:tc>
          <w:tcPr/>
          <w:p>
            <w:pPr>
              <w:pStyle w:val="Compact"/>
            </w:pPr>
          </w:p>
        </w:tc>
        <w:tc>
          <w:tcPr/>
          <w:p>
            <w:pPr>
              <w:pStyle w:val="Compact"/>
            </w:pPr>
          </w:p>
        </w:tc>
      </w:tr>
    </w:tbl>
    <w:p>
      <w:pPr>
        <w:pStyle w:val="BodyText"/>
      </w:pPr>
      <w:r>
        <w:rPr>
          <w:bCs/>
          <w:b/>
        </w:rPr>
        <w:t xml:space="preserve">Table 4. Sensitivity analyses (rate ratios unless stated)</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w:t>
            </w:r>
          </w:p>
        </w:tc>
        <w:tc>
          <w:tcPr/>
          <w:p>
            <w:pPr>
              <w:pStyle w:val="Compact"/>
              <w:jc w:val="left"/>
            </w:pPr>
            <w:r>
              <w:t xml:space="preserve">Analysis</w:t>
            </w:r>
          </w:p>
        </w:tc>
        <w:tc>
          <w:tcPr/>
          <w:p>
            <w:pPr>
              <w:pStyle w:val="Compact"/>
              <w:jc w:val="left"/>
            </w:pPr>
            <w:r>
              <w:t xml:space="preserve">Bias addressed</w:t>
            </w:r>
          </w:p>
        </w:tc>
        <w:tc>
          <w:tcPr/>
          <w:p>
            <w:pPr>
              <w:pStyle w:val="Compact"/>
              <w:jc w:val="left"/>
            </w:pPr>
            <w:r>
              <w:t xml:space="preserve">N</w:t>
            </w:r>
          </w:p>
        </w:tc>
        <w:tc>
          <w:tcPr/>
          <w:p>
            <w:pPr>
              <w:pStyle w:val="Compact"/>
              <w:jc w:val="left"/>
            </w:pPr>
            <w:r>
              <w:t xml:space="preserve">Events</w:t>
            </w:r>
          </w:p>
        </w:tc>
        <w:tc>
          <w:tcPr/>
          <w:p>
            <w:pPr>
              <w:pStyle w:val="Compact"/>
              <w:jc w:val="left"/>
            </w:pPr>
            <w:r>
              <w:t xml:space="preserve">Mild</w:t>
            </w:r>
          </w:p>
        </w:tc>
        <w:tc>
          <w:tcPr/>
          <w:p>
            <w:pPr>
              <w:pStyle w:val="Compact"/>
              <w:jc w:val="left"/>
            </w:pPr>
            <w:r>
              <w:t xml:space="preserve">Moderate</w:t>
            </w:r>
          </w:p>
        </w:tc>
        <w:tc>
          <w:tcPr/>
          <w:p>
            <w:pPr>
              <w:pStyle w:val="Compact"/>
              <w:jc w:val="left"/>
            </w:pPr>
            <w:r>
              <w:t xml:space="preserve">Severe</w:t>
            </w:r>
          </w:p>
        </w:tc>
        <w:tc>
          <w:tcPr/>
          <w:p>
            <w:pPr>
              <w:pStyle w:val="Compact"/>
              <w:jc w:val="left"/>
            </w:pPr>
            <w:r>
              <w:t xml:space="preserve">Per grade</w:t>
            </w:r>
          </w:p>
        </w:tc>
        <w:tc>
          <w:tcPr/>
          <w:p>
            <w:pPr>
              <w:pStyle w:val="Compact"/>
              <w:jc w:val="left"/>
            </w:pPr>
            <w:r>
              <w:t xml:space="preserve">Any anemia</w:t>
            </w:r>
          </w:p>
        </w:tc>
      </w:tr>
      <w:tr>
        <w:tc>
          <w:tcPr/>
          <w:p>
            <w:pPr>
              <w:pStyle w:val="Compact"/>
              <w:jc w:val="left"/>
            </w:pPr>
            <w:r>
              <w:t xml:space="preserve">P</w:t>
            </w:r>
          </w:p>
        </w:tc>
        <w:tc>
          <w:tcPr/>
          <w:p>
            <w:pPr>
              <w:pStyle w:val="Compact"/>
              <w:jc w:val="left"/>
            </w:pPr>
            <w:r>
              <w:t xml:space="preserve">Primary (MI, full adjustment)</w:t>
            </w:r>
          </w:p>
        </w:tc>
        <w:tc>
          <w:tcPr/>
          <w:p>
            <w:pPr>
              <w:pStyle w:val="Compact"/>
              <w:jc w:val="left"/>
            </w:pPr>
            <w:r>
              <w:t xml:space="preserve">—</w:t>
            </w:r>
          </w:p>
        </w:tc>
        <w:tc>
          <w:tcPr/>
          <w:p>
            <w:pPr>
              <w:pStyle w:val="Compact"/>
              <w:jc w:val="left"/>
            </w:pPr>
            <w:r>
              <w:t xml:space="preserve">24871</w:t>
            </w:r>
          </w:p>
        </w:tc>
        <w:tc>
          <w:tcPr/>
          <w:p>
            <w:pPr>
              <w:pStyle w:val="Compact"/>
              <w:jc w:val="left"/>
            </w:pPr>
            <w:r>
              <w:t xml:space="preserve">342</w:t>
            </w:r>
          </w:p>
        </w:tc>
        <w:tc>
          <w:tcPr/>
          <w:p>
            <w:pPr>
              <w:pStyle w:val="Compact"/>
              <w:jc w:val="left"/>
            </w:pPr>
            <w:r>
              <w:t xml:space="preserve">1.49 (1.14–1.96)</w:t>
            </w:r>
          </w:p>
        </w:tc>
        <w:tc>
          <w:tcPr/>
          <w:p>
            <w:pPr>
              <w:pStyle w:val="Compact"/>
              <w:jc w:val="left"/>
            </w:pPr>
            <w:r>
              <w:t xml:space="preserve">1.49 (0.96–2.31)</w:t>
            </w:r>
          </w:p>
        </w:tc>
        <w:tc>
          <w:tcPr/>
          <w:p>
            <w:pPr>
              <w:pStyle w:val="Compact"/>
              <w:jc w:val="left"/>
            </w:pPr>
            <w:r>
              <w:t xml:space="preserve">1.64 (0.79–3.40)</w:t>
            </w:r>
          </w:p>
        </w:tc>
        <w:tc>
          <w:tcPr/>
          <w:p>
            <w:pPr>
              <w:pStyle w:val="Compact"/>
              <w:jc w:val="left"/>
            </w:pPr>
            <w:r>
              <w:t xml:space="preserve">1.26 (1.09–1.45)</w:t>
            </w:r>
          </w:p>
        </w:tc>
        <w:tc>
          <w:tcPr/>
          <w:p>
            <w:pPr>
              <w:pStyle w:val="Compact"/>
              <w:jc w:val="left"/>
            </w:pPr>
            <w:r>
              <w:t xml:space="preserve">1.50 (1.18–1.91)</w:t>
            </w:r>
          </w:p>
        </w:tc>
      </w:tr>
      <w:tr>
        <w:tc>
          <w:tcPr/>
          <w:p>
            <w:pPr>
              <w:pStyle w:val="Compact"/>
              <w:jc w:val="left"/>
            </w:pPr>
            <w:r>
              <w:t xml:space="preserve">S2</w:t>
            </w:r>
          </w:p>
        </w:tc>
        <w:tc>
          <w:tcPr/>
          <w:p>
            <w:pPr>
              <w:pStyle w:val="Compact"/>
              <w:jc w:val="left"/>
            </w:pPr>
            <w:r>
              <w:t xml:space="preserve">Follow-up starts at day 31 (early events excluded)</w:t>
            </w:r>
          </w:p>
        </w:tc>
        <w:tc>
          <w:tcPr/>
          <w:p>
            <w:pPr>
              <w:pStyle w:val="Compact"/>
              <w:jc w:val="left"/>
            </w:pPr>
            <w:r>
              <w:t xml:space="preserve">Reverse causation / detection around the index date</w:t>
            </w:r>
          </w:p>
        </w:tc>
        <w:tc>
          <w:tcPr/>
          <w:p>
            <w:pPr>
              <w:pStyle w:val="Compact"/>
              <w:jc w:val="left"/>
            </w:pPr>
            <w:r>
              <w:t xml:space="preserve">23663</w:t>
            </w:r>
          </w:p>
        </w:tc>
        <w:tc>
          <w:tcPr/>
          <w:p>
            <w:pPr>
              <w:pStyle w:val="Compact"/>
              <w:jc w:val="left"/>
            </w:pPr>
            <w:r>
              <w:t xml:space="preserve">298</w:t>
            </w:r>
          </w:p>
        </w:tc>
        <w:tc>
          <w:tcPr/>
          <w:p>
            <w:pPr>
              <w:pStyle w:val="Compact"/>
              <w:jc w:val="left"/>
            </w:pPr>
            <w:r>
              <w:t xml:space="preserve">1.36 (1.01–1.84)</w:t>
            </w:r>
          </w:p>
        </w:tc>
        <w:tc>
          <w:tcPr/>
          <w:p>
            <w:pPr>
              <w:pStyle w:val="Compact"/>
              <w:jc w:val="left"/>
            </w:pPr>
            <w:r>
              <w:t xml:space="preserve">1.51 (0.95–2.40)</w:t>
            </w:r>
          </w:p>
        </w:tc>
        <w:tc>
          <w:tcPr/>
          <w:p>
            <w:pPr>
              <w:pStyle w:val="Compact"/>
              <w:jc w:val="left"/>
            </w:pPr>
            <w:r>
              <w:t xml:space="preserve">1.15 (0.46–2.86)</w:t>
            </w:r>
          </w:p>
        </w:tc>
        <w:tc>
          <w:tcPr/>
          <w:p>
            <w:pPr>
              <w:pStyle w:val="Compact"/>
              <w:jc w:val="left"/>
            </w:pPr>
            <w:r>
              <w:t xml:space="preserve">1.20 (1.02–1.40)</w:t>
            </w:r>
          </w:p>
        </w:tc>
        <w:tc>
          <w:tcPr/>
          <w:p>
            <w:pPr>
              <w:pStyle w:val="Compact"/>
              <w:jc w:val="left"/>
            </w:pPr>
            <w:r>
              <w:t xml:space="preserve">1.38 (1.06–1.80)</w:t>
            </w:r>
          </w:p>
        </w:tc>
      </w:tr>
      <w:tr>
        <w:tc>
          <w:tcPr/>
          <w:p>
            <w:pPr>
              <w:pStyle w:val="Compact"/>
              <w:jc w:val="left"/>
            </w:pPr>
            <w:r>
              <w:t xml:space="preserve">S3</w:t>
            </w:r>
          </w:p>
        </w:tc>
        <w:tc>
          <w:tcPr/>
          <w:p>
            <w:pPr>
              <w:pStyle w:val="Compact"/>
              <w:jc w:val="left"/>
            </w:pPr>
            <w:r>
              <w:t xml:space="preserve">Baseline Hb within 365 d before index</w:t>
            </w:r>
          </w:p>
        </w:tc>
        <w:tc>
          <w:tcPr/>
          <w:p>
            <w:pPr>
              <w:pStyle w:val="Compact"/>
              <w:jc w:val="left"/>
            </w:pPr>
            <w:r>
              <w:t xml:space="preserve">Stale exposure (Hb up to 3 y old)</w:t>
            </w:r>
          </w:p>
        </w:tc>
        <w:tc>
          <w:tcPr/>
          <w:p>
            <w:pPr>
              <w:pStyle w:val="Compact"/>
              <w:jc w:val="left"/>
            </w:pPr>
            <w:r>
              <w:t xml:space="preserve">20839</w:t>
            </w:r>
          </w:p>
        </w:tc>
        <w:tc>
          <w:tcPr/>
          <w:p>
            <w:pPr>
              <w:pStyle w:val="Compact"/>
              <w:jc w:val="left"/>
            </w:pPr>
            <w:r>
              <w:t xml:space="preserve">308</w:t>
            </w:r>
          </w:p>
        </w:tc>
        <w:tc>
          <w:tcPr/>
          <w:p>
            <w:pPr>
              <w:pStyle w:val="Compact"/>
              <w:jc w:val="left"/>
            </w:pPr>
            <w:r>
              <w:t xml:space="preserve">1.36 (1.02–1.83)</w:t>
            </w:r>
          </w:p>
        </w:tc>
        <w:tc>
          <w:tcPr/>
          <w:p>
            <w:pPr>
              <w:pStyle w:val="Compact"/>
              <w:jc w:val="left"/>
            </w:pPr>
            <w:r>
              <w:t xml:space="preserve">1.40 (0.88–2.21)</w:t>
            </w:r>
          </w:p>
        </w:tc>
        <w:tc>
          <w:tcPr/>
          <w:p>
            <w:pPr>
              <w:pStyle w:val="Compact"/>
              <w:jc w:val="left"/>
            </w:pPr>
            <w:r>
              <w:t xml:space="preserve">1.62 (0.77–3.39)</w:t>
            </w:r>
          </w:p>
        </w:tc>
        <w:tc>
          <w:tcPr/>
          <w:p>
            <w:pPr>
              <w:pStyle w:val="Compact"/>
              <w:jc w:val="left"/>
            </w:pPr>
            <w:r>
              <w:t xml:space="preserve">1.21 (1.04–1.42)</w:t>
            </w:r>
          </w:p>
        </w:tc>
        <w:tc>
          <w:tcPr/>
          <w:p>
            <w:pPr>
              <w:pStyle w:val="Compact"/>
              <w:jc w:val="left"/>
            </w:pPr>
            <w:r>
              <w:t xml:space="preserve">1.39 (1.07–1.80)</w:t>
            </w:r>
          </w:p>
        </w:tc>
      </w:tr>
      <w:tr>
        <w:tc>
          <w:tcPr/>
          <w:p>
            <w:pPr>
              <w:pStyle w:val="Compact"/>
              <w:jc w:val="left"/>
            </w:pPr>
            <w:r>
              <w:t xml:space="preserve">S4</w:t>
            </w:r>
          </w:p>
        </w:tc>
        <w:tc>
          <w:tcPr/>
          <w:p>
            <w:pPr>
              <w:pStyle w:val="Compact"/>
              <w:jc w:val="left"/>
            </w:pPr>
            <w:r>
              <w:t xml:space="preserve">POC Hb included in baseline Hb</w:t>
            </w:r>
          </w:p>
        </w:tc>
        <w:tc>
          <w:tcPr/>
          <w:p>
            <w:pPr>
              <w:pStyle w:val="Compact"/>
              <w:jc w:val="left"/>
            </w:pPr>
            <w:r>
              <w:t xml:space="preserve">Exposure definition (point-of-care values)</w:t>
            </w:r>
          </w:p>
        </w:tc>
        <w:tc>
          <w:tcPr/>
          <w:p>
            <w:pPr>
              <w:pStyle w:val="Compact"/>
              <w:jc w:val="left"/>
            </w:pPr>
            <w:r>
              <w:t xml:space="preserve">23995</w:t>
            </w:r>
          </w:p>
        </w:tc>
        <w:tc>
          <w:tcPr/>
          <w:p>
            <w:pPr>
              <w:pStyle w:val="Compact"/>
              <w:jc w:val="left"/>
            </w:pPr>
            <w:r>
              <w:t xml:space="preserve">340</w:t>
            </w:r>
          </w:p>
        </w:tc>
        <w:tc>
          <w:tcPr/>
          <w:p>
            <w:pPr>
              <w:pStyle w:val="Compact"/>
              <w:jc w:val="left"/>
            </w:pPr>
            <w:r>
              <w:t xml:space="preserve">1.49 (1.13–1.95)</w:t>
            </w:r>
          </w:p>
        </w:tc>
        <w:tc>
          <w:tcPr/>
          <w:p>
            <w:pPr>
              <w:pStyle w:val="Compact"/>
              <w:jc w:val="left"/>
            </w:pPr>
            <w:r>
              <w:t xml:space="preserve">1.42 (0.91–2.23)</w:t>
            </w:r>
          </w:p>
        </w:tc>
        <w:tc>
          <w:tcPr/>
          <w:p>
            <w:pPr>
              <w:pStyle w:val="Compact"/>
              <w:jc w:val="left"/>
            </w:pPr>
            <w:r>
              <w:t xml:space="preserve">1.69 (0.81–3.53)</w:t>
            </w:r>
          </w:p>
        </w:tc>
        <w:tc>
          <w:tcPr/>
          <w:p>
            <w:pPr>
              <w:pStyle w:val="Compact"/>
              <w:jc w:val="left"/>
            </w:pPr>
            <w:r>
              <w:t xml:space="preserve">1.25 (1.08–1.45)</w:t>
            </w:r>
          </w:p>
        </w:tc>
        <w:tc>
          <w:tcPr/>
          <w:p>
            <w:pPr>
              <w:pStyle w:val="Compact"/>
              <w:jc w:val="left"/>
            </w:pPr>
            <w:r>
              <w:t xml:space="preserve">1.49 (1.16–1.90)</w:t>
            </w:r>
          </w:p>
        </w:tc>
      </w:tr>
      <w:tr>
        <w:tc>
          <w:tcPr/>
          <w:p>
            <w:pPr>
              <w:pStyle w:val="Compact"/>
              <w:jc w:val="left"/>
            </w:pPr>
            <w:r>
              <w:t xml:space="preserve">S5</w:t>
            </w:r>
          </w:p>
        </w:tc>
        <w:tc>
          <w:tcPr/>
          <w:p>
            <w:pPr>
              <w:pStyle w:val="Compact"/>
              <w:jc w:val="left"/>
            </w:pPr>
            <w:r>
              <w:t xml:space="preserve">Events limited to women with ≥1 acute stroke code</w:t>
            </w:r>
          </w:p>
        </w:tc>
        <w:tc>
          <w:tcPr/>
          <w:p>
            <w:pPr>
              <w:pStyle w:val="Compact"/>
              <w:jc w:val="left"/>
            </w:pPr>
            <w:r>
              <w:t xml:space="preserve">Outcome misdating (history/sequela codes)</w:t>
            </w:r>
          </w:p>
        </w:tc>
        <w:tc>
          <w:tcPr/>
          <w:p>
            <w:pPr>
              <w:pStyle w:val="Compact"/>
              <w:jc w:val="left"/>
            </w:pPr>
            <w:r>
              <w:t xml:space="preserve">23991</w:t>
            </w:r>
          </w:p>
        </w:tc>
        <w:tc>
          <w:tcPr/>
          <w:p>
            <w:pPr>
              <w:pStyle w:val="Compact"/>
              <w:jc w:val="left"/>
            </w:pPr>
            <w:r>
              <w:t xml:space="preserve">323</w:t>
            </w:r>
          </w:p>
        </w:tc>
        <w:tc>
          <w:tcPr/>
          <w:p>
            <w:pPr>
              <w:pStyle w:val="Compact"/>
              <w:jc w:val="left"/>
            </w:pPr>
            <w:r>
              <w:t xml:space="preserve">1.58 (1.20–2.08)</w:t>
            </w:r>
          </w:p>
        </w:tc>
        <w:tc>
          <w:tcPr/>
          <w:p>
            <w:pPr>
              <w:pStyle w:val="Compact"/>
              <w:jc w:val="left"/>
            </w:pPr>
            <w:r>
              <w:t xml:space="preserve">1.54 (0.98–2.42)</w:t>
            </w:r>
          </w:p>
        </w:tc>
        <w:tc>
          <w:tcPr/>
          <w:p>
            <w:pPr>
              <w:pStyle w:val="Compact"/>
              <w:jc w:val="left"/>
            </w:pPr>
            <w:r>
              <w:t xml:space="preserve">1.55 (0.71–3.35)</w:t>
            </w:r>
          </w:p>
        </w:tc>
        <w:tc>
          <w:tcPr/>
          <w:p>
            <w:pPr>
              <w:pStyle w:val="Compact"/>
              <w:jc w:val="left"/>
            </w:pPr>
            <w:r>
              <w:t xml:space="preserve">1.28 (1.11–1.47)</w:t>
            </w:r>
          </w:p>
        </w:tc>
        <w:tc>
          <w:tcPr/>
          <w:p>
            <w:pPr>
              <w:pStyle w:val="Compact"/>
              <w:jc w:val="left"/>
            </w:pPr>
            <w:r>
              <w:t xml:space="preserve">1.57 (1.23–2.01)</w:t>
            </w:r>
          </w:p>
        </w:tc>
      </w:tr>
      <w:tr>
        <w:tc>
          <w:tcPr/>
          <w:p>
            <w:pPr>
              <w:pStyle w:val="Compact"/>
              <w:jc w:val="left"/>
            </w:pPr>
            <w:r>
              <w:t xml:space="preserve">S6</w:t>
            </w:r>
          </w:p>
        </w:tc>
        <w:tc>
          <w:tcPr/>
          <w:p>
            <w:pPr>
              <w:pStyle w:val="Compact"/>
              <w:jc w:val="left"/>
            </w:pPr>
            <w:r>
              <w:t xml:space="preserve">+ heavy/abnormal uterine bleeding</w:t>
            </w:r>
          </w:p>
        </w:tc>
        <w:tc>
          <w:tcPr/>
          <w:p>
            <w:pPr>
              <w:pStyle w:val="Compact"/>
              <w:jc w:val="left"/>
            </w:pPr>
            <w:r>
              <w:t xml:space="preserve">Confounding vs adjustment for an exposure determinant</w:t>
            </w:r>
          </w:p>
        </w:tc>
        <w:tc>
          <w:tcPr/>
          <w:p>
            <w:pPr>
              <w:pStyle w:val="Compact"/>
              <w:jc w:val="left"/>
            </w:pPr>
            <w:r>
              <w:t xml:space="preserve">24871</w:t>
            </w:r>
          </w:p>
        </w:tc>
        <w:tc>
          <w:tcPr/>
          <w:p>
            <w:pPr>
              <w:pStyle w:val="Compact"/>
              <w:jc w:val="left"/>
            </w:pPr>
            <w:r>
              <w:t xml:space="preserve">342</w:t>
            </w:r>
          </w:p>
        </w:tc>
        <w:tc>
          <w:tcPr/>
          <w:p>
            <w:pPr>
              <w:pStyle w:val="Compact"/>
              <w:jc w:val="left"/>
            </w:pPr>
            <w:r>
              <w:t xml:space="preserve">1.51 (1.15–1.98)</w:t>
            </w:r>
          </w:p>
        </w:tc>
        <w:tc>
          <w:tcPr/>
          <w:p>
            <w:pPr>
              <w:pStyle w:val="Compact"/>
              <w:jc w:val="left"/>
            </w:pPr>
            <w:r>
              <w:t xml:space="preserve">1.52 (0.97–2.37)</w:t>
            </w:r>
          </w:p>
        </w:tc>
        <w:tc>
          <w:tcPr/>
          <w:p>
            <w:pPr>
              <w:pStyle w:val="Compact"/>
              <w:jc w:val="left"/>
            </w:pPr>
            <w:r>
              <w:t xml:space="preserve">1.69 (0.81–3.52)</w:t>
            </w:r>
          </w:p>
        </w:tc>
        <w:tc>
          <w:tcPr/>
          <w:p>
            <w:pPr>
              <w:pStyle w:val="Compact"/>
              <w:jc w:val="left"/>
            </w:pPr>
            <w:r>
              <w:t xml:space="preserve">1.27 (1.10–1.47)</w:t>
            </w:r>
          </w:p>
        </w:tc>
        <w:tc>
          <w:tcPr/>
          <w:p>
            <w:pPr>
              <w:pStyle w:val="Compact"/>
              <w:jc w:val="left"/>
            </w:pPr>
            <w:r>
              <w:t xml:space="preserve">1.52 (1.19–1.94)</w:t>
            </w:r>
          </w:p>
        </w:tc>
      </w:tr>
      <w:tr>
        <w:tc>
          <w:tcPr/>
          <w:p>
            <w:pPr>
              <w:pStyle w:val="Compact"/>
              <w:jc w:val="left"/>
            </w:pPr>
            <w:r>
              <w:t xml:space="preserve">S7</w:t>
            </w:r>
          </w:p>
        </w:tc>
        <w:tc>
          <w:tcPr/>
          <w:p>
            <w:pPr>
              <w:pStyle w:val="Compact"/>
              <w:jc w:val="left"/>
            </w:pPr>
            <w:r>
              <w:t xml:space="preserve">+ thrombophilia, AF, heart failure, VTE (undated)</w:t>
            </w:r>
          </w:p>
        </w:tc>
        <w:tc>
          <w:tcPr/>
          <w:p>
            <w:pPr>
              <w:pStyle w:val="Compact"/>
              <w:jc w:val="left"/>
            </w:pPr>
            <w:r>
              <w:t xml:space="preserve">Over-adjustment check (factors possibly recorded after stroke)</w:t>
            </w:r>
          </w:p>
        </w:tc>
        <w:tc>
          <w:tcPr/>
          <w:p>
            <w:pPr>
              <w:pStyle w:val="Compact"/>
              <w:jc w:val="left"/>
            </w:pPr>
            <w:r>
              <w:t xml:space="preserve">24871</w:t>
            </w:r>
          </w:p>
        </w:tc>
        <w:tc>
          <w:tcPr/>
          <w:p>
            <w:pPr>
              <w:pStyle w:val="Compact"/>
              <w:jc w:val="left"/>
            </w:pPr>
            <w:r>
              <w:t xml:space="preserve">342</w:t>
            </w:r>
          </w:p>
        </w:tc>
        <w:tc>
          <w:tcPr/>
          <w:p>
            <w:pPr>
              <w:pStyle w:val="Compact"/>
              <w:jc w:val="left"/>
            </w:pPr>
            <w:r>
              <w:t xml:space="preserve">1.48 (1.12–1.94)</w:t>
            </w:r>
          </w:p>
        </w:tc>
        <w:tc>
          <w:tcPr/>
          <w:p>
            <w:pPr>
              <w:pStyle w:val="Compact"/>
              <w:jc w:val="left"/>
            </w:pPr>
            <w:r>
              <w:t xml:space="preserve">1.37 (0.87–2.15)</w:t>
            </w:r>
          </w:p>
        </w:tc>
        <w:tc>
          <w:tcPr/>
          <w:p>
            <w:pPr>
              <w:pStyle w:val="Compact"/>
              <w:jc w:val="left"/>
            </w:pPr>
            <w:r>
              <w:t xml:space="preserve">1.57 (0.74–3.30)</w:t>
            </w:r>
          </w:p>
        </w:tc>
        <w:tc>
          <w:tcPr/>
          <w:p>
            <w:pPr>
              <w:pStyle w:val="Compact"/>
              <w:jc w:val="left"/>
            </w:pPr>
            <w:r>
              <w:t xml:space="preserve">1.23 (1.06–1.42)</w:t>
            </w:r>
          </w:p>
        </w:tc>
        <w:tc>
          <w:tcPr/>
          <w:p>
            <w:pPr>
              <w:pStyle w:val="Compact"/>
              <w:jc w:val="left"/>
            </w:pPr>
            <w:r>
              <w:t xml:space="preserve">1.46 (1.14–1.87)</w:t>
            </w:r>
          </w:p>
        </w:tc>
      </w:tr>
      <w:tr>
        <w:tc>
          <w:tcPr/>
          <w:p>
            <w:pPr>
              <w:pStyle w:val="Compact"/>
              <w:jc w:val="left"/>
            </w:pPr>
            <w:r>
              <w:t xml:space="preserve">S8</w:t>
            </w:r>
          </w:p>
        </w:tc>
        <w:tc>
          <w:tcPr/>
          <w:p>
            <w:pPr>
              <w:pStyle w:val="Compact"/>
              <w:jc w:val="left"/>
            </w:pPr>
            <w:r>
              <w:t xml:space="preserve">+ number of Hb tests in the 2 y before index</w:t>
            </w:r>
          </w:p>
        </w:tc>
        <w:tc>
          <w:tcPr/>
          <w:p>
            <w:pPr>
              <w:pStyle w:val="Compact"/>
              <w:jc w:val="left"/>
            </w:pPr>
            <w:r>
              <w:t xml:space="preserve">Healthcare contact / surveillance</w:t>
            </w:r>
          </w:p>
        </w:tc>
        <w:tc>
          <w:tcPr/>
          <w:p>
            <w:pPr>
              <w:pStyle w:val="Compact"/>
              <w:jc w:val="left"/>
            </w:pPr>
            <w:r>
              <w:t xml:space="preserve">24871</w:t>
            </w:r>
          </w:p>
        </w:tc>
        <w:tc>
          <w:tcPr/>
          <w:p>
            <w:pPr>
              <w:pStyle w:val="Compact"/>
              <w:jc w:val="left"/>
            </w:pPr>
            <w:r>
              <w:t xml:space="preserve">342</w:t>
            </w:r>
          </w:p>
        </w:tc>
        <w:tc>
          <w:tcPr/>
          <w:p>
            <w:pPr>
              <w:pStyle w:val="Compact"/>
              <w:jc w:val="left"/>
            </w:pPr>
            <w:r>
              <w:t xml:space="preserve">1.45 (1.10–1.90)</w:t>
            </w:r>
          </w:p>
        </w:tc>
        <w:tc>
          <w:tcPr/>
          <w:p>
            <w:pPr>
              <w:pStyle w:val="Compact"/>
              <w:jc w:val="left"/>
            </w:pPr>
            <w:r>
              <w:t xml:space="preserve">1.42 (0.91–2.21)</w:t>
            </w:r>
          </w:p>
        </w:tc>
        <w:tc>
          <w:tcPr/>
          <w:p>
            <w:pPr>
              <w:pStyle w:val="Compact"/>
              <w:jc w:val="left"/>
            </w:pPr>
            <w:r>
              <w:t xml:space="preserve">1.61 (0.78–3.32)</w:t>
            </w:r>
          </w:p>
        </w:tc>
        <w:tc>
          <w:tcPr/>
          <w:p>
            <w:pPr>
              <w:pStyle w:val="Compact"/>
              <w:jc w:val="left"/>
            </w:pPr>
            <w:r>
              <w:t xml:space="preserve">1.23 (1.07–1.43)</w:t>
            </w:r>
          </w:p>
        </w:tc>
        <w:tc>
          <w:tcPr/>
          <w:p>
            <w:pPr>
              <w:pStyle w:val="Compact"/>
              <w:jc w:val="left"/>
            </w:pPr>
            <w:r>
              <w:t xml:space="preserve">1.45 (1.14–1.85)</w:t>
            </w:r>
          </w:p>
        </w:tc>
      </w:tr>
      <w:tr>
        <w:tc>
          <w:tcPr/>
          <w:p>
            <w:pPr>
              <w:pStyle w:val="Compact"/>
              <w:jc w:val="left"/>
            </w:pPr>
            <w:r>
              <w:t xml:space="preserve">S9</w:t>
            </w:r>
          </w:p>
        </w:tc>
        <w:tc>
          <w:tcPr/>
          <w:p>
            <w:pPr>
              <w:pStyle w:val="Compact"/>
              <w:jc w:val="left"/>
            </w:pPr>
            <w:r>
              <w:t xml:space="preserve">Excluding women with any pre-index anemia-causing condition</w:t>
            </w:r>
          </w:p>
        </w:tc>
        <w:tc>
          <w:tcPr/>
          <w:p>
            <w:pPr>
              <w:pStyle w:val="Compact"/>
              <w:jc w:val="left"/>
            </w:pPr>
            <w:r>
              <w:t xml:space="preserve">Residual confounding by illness causing anemia</w:t>
            </w:r>
          </w:p>
        </w:tc>
        <w:tc>
          <w:tcPr/>
          <w:p>
            <w:pPr>
              <w:pStyle w:val="Compact"/>
              <w:jc w:val="left"/>
            </w:pPr>
            <w:r>
              <w:t xml:space="preserve">19041</w:t>
            </w:r>
          </w:p>
        </w:tc>
        <w:tc>
          <w:tcPr/>
          <w:p>
            <w:pPr>
              <w:pStyle w:val="Compact"/>
              <w:jc w:val="left"/>
            </w:pPr>
            <w:r>
              <w:t xml:space="preserve">236</w:t>
            </w:r>
          </w:p>
        </w:tc>
        <w:tc>
          <w:tcPr/>
          <w:p>
            <w:pPr>
              <w:pStyle w:val="Compact"/>
              <w:jc w:val="left"/>
            </w:pPr>
            <w:r>
              <w:t xml:space="preserve">1.51 (1.09–2.11)</w:t>
            </w:r>
          </w:p>
        </w:tc>
        <w:tc>
          <w:tcPr/>
          <w:p>
            <w:pPr>
              <w:pStyle w:val="Compact"/>
              <w:jc w:val="left"/>
            </w:pPr>
            <w:r>
              <w:t xml:space="preserve">1.08 (0.56–2.09)</w:t>
            </w:r>
          </w:p>
        </w:tc>
        <w:tc>
          <w:tcPr/>
          <w:p>
            <w:pPr>
              <w:pStyle w:val="Compact"/>
              <w:jc w:val="left"/>
            </w:pPr>
            <w:r>
              <w:t xml:space="preserve">1.96 (0.84–4.61)</w:t>
            </w:r>
          </w:p>
        </w:tc>
        <w:tc>
          <w:tcPr/>
          <w:p>
            <w:pPr>
              <w:pStyle w:val="Compact"/>
              <w:jc w:val="left"/>
            </w:pPr>
            <w:r>
              <w:t xml:space="preserve">1.24 (1.03–1.48)</w:t>
            </w:r>
          </w:p>
        </w:tc>
        <w:tc>
          <w:tcPr/>
          <w:p>
            <w:pPr>
              <w:pStyle w:val="Compact"/>
              <w:jc w:val="left"/>
            </w:pPr>
            <w:r>
              <w:t xml:space="preserve">1.46 (1.08–1.97)</w:t>
            </w:r>
          </w:p>
        </w:tc>
      </w:tr>
      <w:tr>
        <w:tc>
          <w:tcPr/>
          <w:p>
            <w:pPr>
              <w:pStyle w:val="Compact"/>
              <w:jc w:val="left"/>
            </w:pPr>
            <w:r>
              <w:t xml:space="preserve">S10</w:t>
            </w:r>
          </w:p>
        </w:tc>
        <w:tc>
          <w:tcPr/>
          <w:p>
            <w:pPr>
              <w:pStyle w:val="Compact"/>
              <w:jc w:val="left"/>
            </w:pPr>
            <w:r>
              <w:t xml:space="preserve">Fine-Gray subdistribution HR (death competing)</w:t>
            </w:r>
          </w:p>
        </w:tc>
        <w:tc>
          <w:tcPr/>
          <w:p>
            <w:pPr>
              <w:pStyle w:val="Compact"/>
              <w:jc w:val="left"/>
            </w:pPr>
            <w:r>
              <w:t xml:space="preserve">Competing risk of death</w:t>
            </w:r>
          </w:p>
        </w:tc>
        <w:tc>
          <w:tcPr/>
          <w:p>
            <w:pPr>
              <w:pStyle w:val="Compact"/>
              <w:jc w:val="left"/>
            </w:pPr>
            <w:r>
              <w:t xml:space="preserve">23991</w:t>
            </w:r>
          </w:p>
        </w:tc>
        <w:tc>
          <w:tcPr/>
          <w:p>
            <w:pPr>
              <w:pStyle w:val="Compact"/>
              <w:jc w:val="left"/>
            </w:pPr>
            <w:r>
              <w:t xml:space="preserve">340</w:t>
            </w:r>
          </w:p>
        </w:tc>
        <w:tc>
          <w:tcPr/>
          <w:p>
            <w:pPr>
              <w:pStyle w:val="Compact"/>
              <w:jc w:val="left"/>
            </w:pPr>
            <w:r>
              <w:t xml:space="preserve">1.48 (1.13–1.94)</w:t>
            </w:r>
          </w:p>
        </w:tc>
        <w:tc>
          <w:tcPr/>
          <w:p>
            <w:pPr>
              <w:pStyle w:val="Compact"/>
              <w:jc w:val="left"/>
            </w:pPr>
            <w:r>
              <w:t xml:space="preserve">1.41 (0.90–2.20)</w:t>
            </w:r>
          </w:p>
        </w:tc>
        <w:tc>
          <w:tcPr/>
          <w:p>
            <w:pPr>
              <w:pStyle w:val="Compact"/>
              <w:jc w:val="left"/>
            </w:pPr>
            <w:r>
              <w:t xml:space="preserve">1.58 (0.77–3.28)</w:t>
            </w:r>
          </w:p>
        </w:tc>
        <w:tc>
          <w:tcPr/>
          <w:p>
            <w:pPr>
              <w:pStyle w:val="Compact"/>
              <w:jc w:val="left"/>
            </w:pPr>
            <w:r>
              <w:t xml:space="preserve">1.24 (1.07–1.43)</w:t>
            </w:r>
          </w:p>
        </w:tc>
        <w:tc>
          <w:tcPr/>
          <w:p>
            <w:pPr>
              <w:pStyle w:val="Compact"/>
              <w:jc w:val="left"/>
            </w:pPr>
            <w:r>
              <w:t xml:space="preserve">not estimated</w:t>
            </w:r>
          </w:p>
        </w:tc>
      </w:tr>
      <w:tr>
        <w:tc>
          <w:tcPr/>
          <w:p>
            <w:pPr>
              <w:pStyle w:val="Compact"/>
              <w:jc w:val="left"/>
            </w:pPr>
            <w:r>
              <w:t xml:space="preserve">S11</w:t>
            </w:r>
          </w:p>
        </w:tc>
        <w:tc>
          <w:tcPr/>
          <w:p>
            <w:pPr>
              <w:pStyle w:val="Compact"/>
              <w:jc w:val="left"/>
            </w:pPr>
            <w:r>
              <w:t xml:space="preserve">Inverse-probability weighted for having a baseline Hb</w:t>
            </w:r>
          </w:p>
        </w:tc>
        <w:tc>
          <w:tcPr/>
          <w:p>
            <w:pPr>
              <w:pStyle w:val="Compact"/>
              <w:jc w:val="left"/>
            </w:pPr>
            <w:r>
              <w:t xml:space="preserve">Selection into the tested cohort</w:t>
            </w:r>
          </w:p>
        </w:tc>
        <w:tc>
          <w:tcPr/>
          <w:p>
            <w:pPr>
              <w:pStyle w:val="Compact"/>
              <w:jc w:val="left"/>
            </w:pPr>
            <w:r>
              <w:t xml:space="preserve">23991</w:t>
            </w:r>
          </w:p>
        </w:tc>
        <w:tc>
          <w:tcPr/>
          <w:p>
            <w:pPr>
              <w:pStyle w:val="Compact"/>
              <w:jc w:val="left"/>
            </w:pPr>
            <w:r>
              <w:t xml:space="preserve">340</w:t>
            </w:r>
          </w:p>
        </w:tc>
        <w:tc>
          <w:tcPr/>
          <w:p>
            <w:pPr>
              <w:pStyle w:val="Compact"/>
              <w:jc w:val="left"/>
            </w:pPr>
            <w:r>
              <w:t xml:space="preserve">1.49 (1.13–1.98)</w:t>
            </w:r>
          </w:p>
        </w:tc>
        <w:tc>
          <w:tcPr/>
          <w:p>
            <w:pPr>
              <w:pStyle w:val="Compact"/>
              <w:jc w:val="left"/>
            </w:pPr>
            <w:r>
              <w:t xml:space="preserve">1.38 (0.87–2.17)</w:t>
            </w:r>
          </w:p>
        </w:tc>
        <w:tc>
          <w:tcPr/>
          <w:p>
            <w:pPr>
              <w:pStyle w:val="Compact"/>
              <w:jc w:val="left"/>
            </w:pPr>
            <w:r>
              <w:t xml:space="preserve">1.55 (0.74–3.25)</w:t>
            </w:r>
          </w:p>
        </w:tc>
        <w:tc>
          <w:tcPr/>
          <w:p>
            <w:pPr>
              <w:pStyle w:val="Compact"/>
              <w:jc w:val="left"/>
            </w:pPr>
            <w:r>
              <w:t xml:space="preserve">1.24 (1.07–1.43)</w:t>
            </w:r>
          </w:p>
        </w:tc>
        <w:tc>
          <w:tcPr/>
          <w:p>
            <w:pPr>
              <w:pStyle w:val="Compact"/>
              <w:jc w:val="left"/>
            </w:pPr>
            <w:r>
              <w:t xml:space="preserve">not estimated</w:t>
            </w:r>
          </w:p>
        </w:tc>
      </w:tr>
    </w:tbl>
    <w:p>
      <w:pPr>
        <w:pStyle w:val="BodyText"/>
      </w:pPr>
      <w:r>
        <w:rPr>
          <w:bCs/>
          <w:b/>
        </w:rPr>
        <w:t xml:space="preserve">Table 5. Time-updated hemoglobin and stroke (excluding TIA)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Mild</w:t>
            </w:r>
          </w:p>
        </w:tc>
        <w:tc>
          <w:tcPr/>
          <w:p>
            <w:pPr>
              <w:pStyle w:val="Compact"/>
              <w:jc w:val="left"/>
            </w:pPr>
            <w:r>
              <w:t xml:space="preserve">Moderate</w:t>
            </w:r>
          </w:p>
        </w:tc>
        <w:tc>
          <w:tcPr/>
          <w:p>
            <w:pPr>
              <w:pStyle w:val="Compact"/>
              <w:jc w:val="left"/>
            </w:pPr>
            <w:r>
              <w:t xml:space="preserve">No recent Hb</w:t>
            </w:r>
          </w:p>
        </w:tc>
        <w:tc>
          <w:tcPr/>
          <w:p>
            <w:pPr>
              <w:pStyle w:val="Compact"/>
              <w:jc w:val="left"/>
            </w:pPr>
            <w:r>
              <w:t xml:space="preserve">Per grade (trend, measured time)</w:t>
            </w:r>
          </w:p>
        </w:tc>
        <w:tc>
          <w:tcPr/>
          <w:p>
            <w:pPr>
              <w:pStyle w:val="Compact"/>
              <w:jc w:val="left"/>
            </w:pPr>
            <w:r>
              <w:t xml:space="preserve">Severe</w:t>
            </w:r>
          </w:p>
        </w:tc>
      </w:tr>
      <w:tr>
        <w:tc>
          <w:tcPr/>
          <w:p>
            <w:pPr>
              <w:pStyle w:val="Compact"/>
              <w:jc w:val="left"/>
            </w:pPr>
            <w:r>
              <w:t xml:space="preserve">TU primary: 1-y carry-forward, no lag</w:t>
            </w:r>
          </w:p>
        </w:tc>
        <w:tc>
          <w:tcPr/>
          <w:p>
            <w:pPr>
              <w:pStyle w:val="Compact"/>
              <w:jc w:val="left"/>
            </w:pPr>
            <w:r>
              <w:t xml:space="preserve">1.15 (0.86–1.55)</w:t>
            </w:r>
          </w:p>
        </w:tc>
        <w:tc>
          <w:tcPr/>
          <w:p>
            <w:pPr>
              <w:pStyle w:val="Compact"/>
              <w:jc w:val="left"/>
            </w:pPr>
            <w:r>
              <w:t xml:space="preserve">2.40 (1.63–3.52)</w:t>
            </w:r>
          </w:p>
        </w:tc>
        <w:tc>
          <w:tcPr/>
          <w:p>
            <w:pPr>
              <w:pStyle w:val="Compact"/>
              <w:jc w:val="left"/>
            </w:pPr>
            <w:r>
              <w:t xml:space="preserve">0.55 (0.44–0.69)</w:t>
            </w:r>
          </w:p>
        </w:tc>
        <w:tc>
          <w:tcPr/>
          <w:p>
            <w:pPr>
              <w:pStyle w:val="Compact"/>
              <w:jc w:val="left"/>
            </w:pPr>
            <w:r>
              <w:t xml:space="preserve">1.40 (1.19–1.66)</w:t>
            </w:r>
          </w:p>
        </w:tc>
        <w:tc>
          <w:tcPr/>
          <w:p>
            <w:pPr>
              <w:pStyle w:val="Compact"/>
              <w:jc w:val="left"/>
            </w:pPr>
            <w:r>
              <w:t xml:space="preserve">2.49 (1.01–6.13)</w:t>
            </w:r>
          </w:p>
        </w:tc>
      </w:tr>
      <w:tr>
        <w:tc>
          <w:tcPr/>
          <w:p>
            <w:pPr>
              <w:pStyle w:val="Compact"/>
              <w:jc w:val="left"/>
            </w:pPr>
            <w:r>
              <w:t xml:space="preserve">TU: + Hb tests in previous year</w:t>
            </w:r>
          </w:p>
        </w:tc>
        <w:tc>
          <w:tcPr/>
          <w:p>
            <w:pPr>
              <w:pStyle w:val="Compact"/>
              <w:jc w:val="left"/>
            </w:pPr>
            <w:r>
              <w:t xml:space="preserve">1.03 (0.76–1.39)</w:t>
            </w:r>
          </w:p>
        </w:tc>
        <w:tc>
          <w:tcPr/>
          <w:p>
            <w:pPr>
              <w:pStyle w:val="Compact"/>
              <w:jc w:val="left"/>
            </w:pPr>
            <w:r>
              <w:t xml:space="preserve">1.96 (1.32–2.92)</w:t>
            </w:r>
          </w:p>
        </w:tc>
        <w:tc>
          <w:tcPr/>
          <w:p>
            <w:pPr>
              <w:pStyle w:val="Compact"/>
              <w:jc w:val="left"/>
            </w:pPr>
            <w:r>
              <w:t xml:space="preserve">0.60 (0.46–0.80)</w:t>
            </w:r>
          </w:p>
        </w:tc>
        <w:tc>
          <w:tcPr/>
          <w:p>
            <w:pPr>
              <w:pStyle w:val="Compact"/>
              <w:jc w:val="left"/>
            </w:pPr>
            <w:r>
              <w:t xml:space="preserve">1.28 (1.08–1.52)</w:t>
            </w:r>
          </w:p>
        </w:tc>
        <w:tc>
          <w:tcPr/>
          <w:p>
            <w:pPr>
              <w:pStyle w:val="Compact"/>
              <w:jc w:val="left"/>
            </w:pPr>
            <w:r>
              <w:t xml:space="preserve">2.09 (0.85–5.13)</w:t>
            </w:r>
          </w:p>
        </w:tc>
      </w:tr>
      <w:tr>
        <w:tc>
          <w:tcPr/>
          <w:p>
            <w:pPr>
              <w:pStyle w:val="Compact"/>
              <w:jc w:val="left"/>
            </w:pPr>
            <w:r>
              <w:t xml:space="preserve">TU: 3-y carry-forward (original window)</w:t>
            </w:r>
          </w:p>
        </w:tc>
        <w:tc>
          <w:tcPr/>
          <w:p>
            <w:pPr>
              <w:pStyle w:val="Compact"/>
              <w:jc w:val="left"/>
            </w:pPr>
            <w:r>
              <w:t xml:space="preserve">1.16 (0.88–1.52)</w:t>
            </w:r>
          </w:p>
        </w:tc>
        <w:tc>
          <w:tcPr/>
          <w:p>
            <w:pPr>
              <w:pStyle w:val="Compact"/>
              <w:jc w:val="left"/>
            </w:pPr>
            <w:r>
              <w:t xml:space="preserve">2.27 (1.57–3.28)</w:t>
            </w:r>
          </w:p>
        </w:tc>
        <w:tc>
          <w:tcPr/>
          <w:p>
            <w:pPr>
              <w:pStyle w:val="Compact"/>
              <w:jc w:val="left"/>
            </w:pPr>
            <w:r>
              <w:t xml:space="preserve">1.01 (0.77–1.31)</w:t>
            </w:r>
          </w:p>
        </w:tc>
        <w:tc>
          <w:tcPr/>
          <w:p>
            <w:pPr>
              <w:pStyle w:val="Compact"/>
              <w:jc w:val="left"/>
            </w:pPr>
            <w:r>
              <w:t xml:space="preserve">1.36 (1.17–1.60)</w:t>
            </w:r>
          </w:p>
        </w:tc>
        <w:tc>
          <w:tcPr/>
          <w:p>
            <w:pPr>
              <w:pStyle w:val="Compact"/>
              <w:jc w:val="left"/>
            </w:pPr>
            <w:r>
              <w:t xml:space="preserve">2.13 (0.86–5.26)</w:t>
            </w:r>
          </w:p>
        </w:tc>
      </w:tr>
      <w:tr>
        <w:tc>
          <w:tcPr/>
          <w:p>
            <w:pPr>
              <w:pStyle w:val="Compact"/>
              <w:jc w:val="left"/>
            </w:pPr>
            <w:r>
              <w:t xml:space="preserve">TU: 30-day lag</w:t>
            </w:r>
          </w:p>
        </w:tc>
        <w:tc>
          <w:tcPr/>
          <w:p>
            <w:pPr>
              <w:pStyle w:val="Compact"/>
              <w:jc w:val="left"/>
            </w:pPr>
            <w:r>
              <w:t xml:space="preserve">1.13 (0.83–1.54)</w:t>
            </w:r>
          </w:p>
        </w:tc>
        <w:tc>
          <w:tcPr/>
          <w:p>
            <w:pPr>
              <w:pStyle w:val="Compact"/>
              <w:jc w:val="left"/>
            </w:pPr>
            <w:r>
              <w:t xml:space="preserve">1.56 (0.98–2.48)</w:t>
            </w:r>
          </w:p>
        </w:tc>
        <w:tc>
          <w:tcPr/>
          <w:p>
            <w:pPr>
              <w:pStyle w:val="Compact"/>
              <w:jc w:val="left"/>
            </w:pPr>
            <w:r>
              <w:t xml:space="preserve">0.82 (0.67–1.01)</w:t>
            </w:r>
          </w:p>
        </w:tc>
        <w:tc>
          <w:tcPr/>
          <w:p>
            <w:pPr>
              <w:pStyle w:val="Compact"/>
              <w:jc w:val="left"/>
            </w:pPr>
            <w:r>
              <w:t xml:space="preserve">1.20 (1.00–1.44)</w:t>
            </w:r>
          </w:p>
        </w:tc>
        <w:tc>
          <w:tcPr/>
          <w:p>
            <w:pPr>
              <w:pStyle w:val="Compact"/>
              <w:jc w:val="left"/>
            </w:pPr>
            <w:r>
              <w:t xml:space="preserve">1.60 (0.51–5.05)</w:t>
            </w:r>
          </w:p>
        </w:tc>
      </w:tr>
      <w:tr>
        <w:tc>
          <w:tcPr/>
          <w:p>
            <w:pPr>
              <w:pStyle w:val="Compact"/>
              <w:jc w:val="left"/>
            </w:pPr>
            <w:r>
              <w:t xml:space="preserve">TU: 30-day lag + Hb tests in previous year</w:t>
            </w:r>
          </w:p>
        </w:tc>
        <w:tc>
          <w:tcPr/>
          <w:p>
            <w:pPr>
              <w:pStyle w:val="Compact"/>
              <w:jc w:val="left"/>
            </w:pPr>
            <w:r>
              <w:t xml:space="preserve">0.96 (0.70–1.32)</w:t>
            </w:r>
          </w:p>
        </w:tc>
        <w:tc>
          <w:tcPr/>
          <w:p>
            <w:pPr>
              <w:pStyle w:val="Compact"/>
              <w:jc w:val="left"/>
            </w:pPr>
            <w:r>
              <w:t xml:space="preserve">1.20 (0.75–1.92)</w:t>
            </w:r>
          </w:p>
        </w:tc>
        <w:tc>
          <w:tcPr/>
          <w:p>
            <w:pPr>
              <w:pStyle w:val="Compact"/>
              <w:jc w:val="left"/>
            </w:pPr>
            <w:r>
              <w:t xml:space="preserve">1.00 (0.75–1.33)</w:t>
            </w:r>
          </w:p>
        </w:tc>
        <w:tc>
          <w:tcPr/>
          <w:p>
            <w:pPr>
              <w:pStyle w:val="Compact"/>
              <w:jc w:val="left"/>
            </w:pPr>
            <w:r>
              <w:t xml:space="preserve">1.05 (0.87–1.27)</w:t>
            </w:r>
          </w:p>
        </w:tc>
        <w:tc>
          <w:tcPr/>
          <w:p>
            <w:pPr>
              <w:pStyle w:val="Compact"/>
              <w:jc w:val="left"/>
            </w:pPr>
            <w:r>
              <w:t xml:space="preserve">1.26 (0.40–3.96)</w:t>
            </w:r>
          </w:p>
        </w:tc>
      </w:tr>
      <w:tr>
        <w:tc>
          <w:tcPr/>
          <w:p>
            <w:pPr>
              <w:pStyle w:val="Compact"/>
              <w:jc w:val="left"/>
            </w:pPr>
            <w:r>
              <w:t xml:space="preserve">TU: 90-day lag</w:t>
            </w:r>
          </w:p>
        </w:tc>
        <w:tc>
          <w:tcPr/>
          <w:p>
            <w:pPr>
              <w:pStyle w:val="Compact"/>
              <w:jc w:val="left"/>
            </w:pPr>
            <w:r>
              <w:t xml:space="preserve">0.97 (0.69–1.36)</w:t>
            </w:r>
          </w:p>
        </w:tc>
        <w:tc>
          <w:tcPr/>
          <w:p>
            <w:pPr>
              <w:pStyle w:val="Compact"/>
              <w:jc w:val="left"/>
            </w:pPr>
            <w:r>
              <w:t xml:space="preserve">1.57 (0.96–2.57)</w:t>
            </w:r>
          </w:p>
        </w:tc>
        <w:tc>
          <w:tcPr/>
          <w:p>
            <w:pPr>
              <w:pStyle w:val="Compact"/>
              <w:jc w:val="left"/>
            </w:pPr>
            <w:r>
              <w:t xml:space="preserve">1.03 (0.84–1.27)</w:t>
            </w:r>
          </w:p>
        </w:tc>
        <w:tc>
          <w:tcPr/>
          <w:p>
            <w:pPr>
              <w:pStyle w:val="Compact"/>
              <w:jc w:val="left"/>
            </w:pPr>
            <w:r>
              <w:t xml:space="preserve">1.19 (0.97–1.45)</w:t>
            </w:r>
          </w:p>
        </w:tc>
        <w:tc>
          <w:tcPr/>
          <w:p>
            <w:pPr>
              <w:pStyle w:val="Compact"/>
              <w:jc w:val="left"/>
            </w:pPr>
            <w:r>
              <w:t xml:space="preserve">2.28 (0.85–6.15)</w:t>
            </w:r>
          </w:p>
        </w:tc>
      </w:tr>
    </w:tbl>
    <w:p>
      <w:pPr>
        <w:pStyle w:val="BodyText"/>
      </w:pPr>
      <w:r>
        <w:rPr>
          <w:iCs/>
          <w:i/>
        </w:rPr>
        <w:t xml:space="preserve">Most recent laboratory Hb, carried forward up to 1 year (3 years in the last row); never effective on its measurement day; Poisson with SE clustered by woman, full adjustment, 20 imputations.</w:t>
      </w:r>
    </w:p>
    <w:bookmarkEnd w:id="36"/>
    <w:bookmarkEnd w:id="37"/>
    <w:bookmarkStart w:id="50" w:name="figures"/>
    <w:p>
      <w:pPr>
        <w:pStyle w:val="Heading2"/>
      </w:pPr>
      <w:r>
        <w:t xml:space="preserve">Figures</w:t>
      </w:r>
    </w:p>
    <w:p>
      <w:pPr>
        <w:pStyle w:val="CaptionedFigure"/>
      </w:pPr>
      <w:r>
        <w:drawing>
          <wp:inline>
            <wp:extent cx="5334000" cy="4078941"/>
            <wp:effectExtent b="0" l="0" r="0" t="0"/>
            <wp:docPr descr="Figure 1. Cohort flow." title="" id="39" name="Picture"/>
            <a:graphic>
              <a:graphicData uri="http://schemas.openxmlformats.org/drawingml/2006/picture">
                <pic:pic>
                  <pic:nvPicPr>
                    <pic:cNvPr descr="../figures/Figure1_flow.png" id="40" name="Picture"/>
                    <pic:cNvPicPr>
                      <a:picLocks noChangeArrowheads="1" noChangeAspect="1"/>
                    </pic:cNvPicPr>
                  </pic:nvPicPr>
                  <pic:blipFill>
                    <a:blip r:embed="rId38"/>
                    <a:stretch>
                      <a:fillRect/>
                    </a:stretch>
                  </pic:blipFill>
                  <pic:spPr bwMode="auto">
                    <a:xfrm>
                      <a:off x="0" y="0"/>
                      <a:ext cx="5334000" cy="4078941"/>
                    </a:xfrm>
                    <a:prstGeom prst="rect">
                      <a:avLst/>
                    </a:prstGeom>
                    <a:noFill/>
                    <a:ln w="9525">
                      <a:noFill/>
                      <a:headEnd/>
                      <a:tailEnd/>
                    </a:ln>
                  </pic:spPr>
                </pic:pic>
              </a:graphicData>
            </a:graphic>
          </wp:inline>
        </w:drawing>
      </w:r>
    </w:p>
    <w:p>
      <w:pPr>
        <w:pStyle w:val="ImageCaption"/>
      </w:pPr>
      <w:r>
        <w:t xml:space="preserve">Figure 1. Cohort flow.</w:t>
      </w:r>
    </w:p>
    <w:p>
      <w:pPr>
        <w:pStyle w:val="CaptionedFigure"/>
      </w:pPr>
      <w:r>
        <w:drawing>
          <wp:inline>
            <wp:extent cx="5334000" cy="4572000"/>
            <wp:effectExtent b="0" l="0" r="0" t="0"/>
            <wp:docPr descr="Figure 2. Baseline hemoglobin and incident stroke: adjusted rate ratio relative to 13 g/dL (restricted cubic spline), with the distribution of Hb." title="" id="42" name="Picture"/>
            <a:graphic>
              <a:graphicData uri="http://schemas.openxmlformats.org/drawingml/2006/picture">
                <pic:pic>
                  <pic:nvPicPr>
                    <pic:cNvPr descr="../figures/Figure2_spline.png" id="43" name="Picture"/>
                    <pic:cNvPicPr>
                      <a:picLocks noChangeArrowheads="1" noChangeAspect="1"/>
                    </pic:cNvPicPr>
                  </pic:nvPicPr>
                  <pic:blipFill>
                    <a:blip r:embed="rId41"/>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Figure 2. Baseline hemoglobin and incident stroke: adjusted rate ratio relative to 13 g/dL (restricted cubic spline), with the distribution of Hb.</w:t>
      </w:r>
    </w:p>
    <w:p>
      <w:pPr>
        <w:pStyle w:val="CaptionedFigure"/>
      </w:pPr>
      <w:r>
        <w:drawing>
          <wp:inline>
            <wp:extent cx="5334000" cy="6275294"/>
            <wp:effectExtent b="0" l="0" r="0" t="0"/>
            <wp:docPr descr="Figure 3. Estimates by design and effect measure: (A) primary incident analysis, (B) secondary outcomes, (C) time-updated Hb without and with a 30-day lag, (D) the earlier cross-sectional odds ratios for comparison." title="" id="45" name="Picture"/>
            <a:graphic>
              <a:graphicData uri="http://schemas.openxmlformats.org/drawingml/2006/picture">
                <pic:pic>
                  <pic:nvPicPr>
                    <pic:cNvPr descr="../figures/Figure3_forest.png" id="46" name="Picture"/>
                    <pic:cNvPicPr>
                      <a:picLocks noChangeArrowheads="1" noChangeAspect="1"/>
                    </pic:cNvPicPr>
                  </pic:nvPicPr>
                  <pic:blipFill>
                    <a:blip r:embed="rId44"/>
                    <a:stretch>
                      <a:fillRect/>
                    </a:stretch>
                  </pic:blipFill>
                  <pic:spPr bwMode="auto">
                    <a:xfrm>
                      <a:off x="0" y="0"/>
                      <a:ext cx="5334000" cy="6275294"/>
                    </a:xfrm>
                    <a:prstGeom prst="rect">
                      <a:avLst/>
                    </a:prstGeom>
                    <a:noFill/>
                    <a:ln w="9525">
                      <a:noFill/>
                      <a:headEnd/>
                      <a:tailEnd/>
                    </a:ln>
                  </pic:spPr>
                </pic:pic>
              </a:graphicData>
            </a:graphic>
          </wp:inline>
        </w:drawing>
      </w:r>
    </w:p>
    <w:p>
      <w:pPr>
        <w:pStyle w:val="ImageCaption"/>
      </w:pPr>
      <w:r>
        <w:t xml:space="preserve">Figure 3. Estimates by design and effect measure: (A) primary incident analysis, (B) secondary outcomes, (C) time-updated Hb without and with a 30-day lag, (D) the earlier cross-sectional odds ratios for comparison.</w:t>
      </w:r>
    </w:p>
    <w:p>
      <w:pPr>
        <w:pStyle w:val="CaptionedFigure"/>
      </w:pPr>
      <w:r>
        <w:drawing>
          <wp:inline>
            <wp:extent cx="5334000" cy="3429000"/>
            <wp:effectExtent b="0" l="0" r="0" t="0"/>
            <wp:docPr descr="Figure S1. Cumulative incidence of stroke by baseline anemia grade (death as competing event)." title="" id="48" name="Picture"/>
            <a:graphic>
              <a:graphicData uri="http://schemas.openxmlformats.org/drawingml/2006/picture">
                <pic:pic>
                  <pic:nvPicPr>
                    <pic:cNvPr descr="../figures/FigureS1_cumulative_incidence.png" id="49" name="Picture"/>
                    <pic:cNvPicPr>
                      <a:picLocks noChangeArrowheads="1" noChangeAspect="1"/>
                    </pic:cNvPicPr>
                  </pic:nvPicPr>
                  <pic:blipFill>
                    <a:blip r:embed="rId47"/>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t xml:space="preserve">Figure S1. Cumulative incidence of stroke by baseline anemia grade (death as competing event).</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2026-10-22T05:19:20Z</dcterms:created>
  <dcterms:modified xsi:type="dcterms:W3CDTF">2026-10-22T05:19:20Z</dcterms:modified>
</cp:coreProperties>
</file>

<file path=docProps/custom.xml><?xml version="1.0" encoding="utf-8"?>
<Properties xmlns="http://schemas.openxmlformats.org/officeDocument/2006/custom-properties" xmlns:vt="http://schemas.openxmlformats.org/officeDocument/2006/docPropsVTypes"/>
</file>