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cs="DejaVu Sans"/>
          <w:b/>
          <w:sz w:val="28"/>
        </w:rPr>
        <w:t>E-Keyfiyyet Portalına Əlavə Edilməsi Təklif Olunan Beynəlxalq və Dövlət Standartlarının Siyahısı</w:t>
      </w:r>
    </w:p>
    <w:p/>
    <w:p>
      <w:pPr>
        <w:jc w:val="both"/>
      </w:pPr>
      <w:r>
        <w:rPr>
          <w:rFonts w:ascii="DejaVu Sans" w:hAnsi="DejaVu Sans" w:cs="DejaVu Sans"/>
          <w:b w:val="0"/>
          <w:sz w:val="22"/>
        </w:rPr>
        <w:t>Qeyri-Dağıdıcı Müayinə (QNM) fəaliyyətimizdə istinad edilən, lakin E-Keyfiyyet portalının normativ-sənədlər reyestrində hazırda mövcud olmayan aşağıdakı beynəlxalq və dövlət standartlarının portala əlavə edilməsini təklif edirik. Standartların tam adları və aid olduqları QNM (NDT) metodları cədvəldə göstərilmişdir.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vAlign w:val="center"/>
            <w:shd w:val="clear" w:color="auto" w:fill="2F5496"/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2"/>
              </w:rPr>
              <w:t>№</w:t>
            </w:r>
          </w:p>
        </w:tc>
        <w:tc>
          <w:tcPr>
            <w:tcW w:type="dxa" w:w="5386"/>
            <w:vAlign w:val="center"/>
            <w:shd w:val="clear" w:color="auto" w:fill="2F5496"/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2"/>
              </w:rPr>
              <w:t>Standartın Tam Adı</w:t>
            </w:r>
          </w:p>
        </w:tc>
        <w:tc>
          <w:tcPr>
            <w:tcW w:type="dxa" w:w="3685"/>
            <w:vAlign w:val="center"/>
            <w:shd w:val="clear" w:color="auto" w:fill="2F5496"/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2"/>
              </w:rPr>
              <w:t>Aid Olduğu NDT Metodu / Təsvir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API 510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Təzyiq qablarının istismar müayinəsi kodeksi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Təzyiq qablarının ümumi müayinəsi (VT, UT, RT, MT, PT)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2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API 570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Boru kəmərlərinin istismar müayinəsi kodeksi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Boru kəmərlərinin ümumi müayinəsi (VT, UT, RT, MT, PT)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3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API 620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İri həcmli qaynaqlı aşağı təzyiqli saxlama çənlərinin layihələndirilməsi və tikintisi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Çən qaynaqlarının müayinəsi (RT, UT, VT)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4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API 650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Neft saxlanması üçün qaynaqlı çənlər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Çən qaynaqlarının müayinəsi (RT, UT, VT, MT, PT)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5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ASME B31.1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Enerji boru kəmərləri (Power Piping)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Boru qaynaqlarının müayinəsi (RT, UT, MT, PT, VT)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6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ASME B31.3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Proses boru kəmərləri (Process Piping)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Boru qaynaqlarının müayinəsi (RT, UT, MT, PT, VT)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7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ASME I-XII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ASME Qazan və Təzyiq Qabları Kodeksi (Bölmə I–XII)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Qaynaq və material üçün ümumi qəbul kodeksi (RT, UT, MT, PT, VT)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8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ASTM E 572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Paslanmayan və legirlənmiş poladların rentgen-floresans (XRF) spektrometriyası ilə analizi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PMI — material tərkibinin təyini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9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ASTM E 1476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Metalların identifikasiyası, markasının təsdiqi və çeşidlənməsi üzrə təlimat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PMI — material identifikasiyası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10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AWS D1.1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Konstruksiya Qaynaq Kodeksi — Polad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Konstruksiya qaynaqlarının müayinəsi (VT, RT, UT, MT, PT)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11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ISO 3057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QNM — Səth müayinəsi üçün metaloqrafik replika üsulları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Səth/replika müayinəsi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12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ISO 10863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Qaynaqların QNM — Ultrasəs müayinəsi — TOFD üsulunun tətbiqi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UT (TOFD — diffraksiya vaxtı üsulu)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13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ISO 16809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QNM — Ultrasəs ilə qalınlığın ölçülməsi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UTM — ultrasəs qalınlıq ölçmə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14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ISO 17637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Qaynaqların QNM — Əridilmiş qaynaq birləşmələrinin vizual müayinəsi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VT — vizual müayinə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15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ISO 19285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Qaynaqların QNM — Faza-qəfəsli ultrasəs müayinəsi (PAUT) — Qəbul səviyyələri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UT (PAUT — faza-qəfəsli)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16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ГОСТ 7512-82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QNM. Qaynaq birləşmələri. Radioqrafik üsul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RT — radioqrafik müayinə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17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ГОСТ 18442-80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QNM. Kapillyar üsullar. Ümumi tələblər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PT — kapillyar (nüfuzedici) müayinə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18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ГОСТ 26790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QNM. Kapillyar üsullar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PT — kapillyar (nüfuzedici) müayinə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19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ГОСТ Р 51780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QNM sahəsinə aid dövlət standartı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Dəqiqləşdirilməlidir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20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ГОСТ Р 55724-2013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QNM. Qaynaq birləşmələri. Ultrasəs üsulları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UT — ultrasəs müayinə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DejaVu Sans" w:hAnsi="DejaVu Sans" w:cs="DejaVu Sans"/>
                <w:b w:val="0"/>
                <w:sz w:val="22"/>
              </w:rPr>
              <w:t>21</w:t>
            </w:r>
          </w:p>
        </w:tc>
        <w:tc>
          <w:tcPr>
            <w:tcW w:type="dxa" w:w="5386"/>
          </w:tcPr>
          <w:p>
            <w:r>
              <w:rPr>
                <w:rFonts w:ascii="DejaVu Sans" w:hAnsi="DejaVu Sans" w:cs="DejaVu Sans"/>
                <w:b/>
                <w:sz w:val="22"/>
              </w:rPr>
              <w:t>ГОСТ Р 56512-2015</w:t>
            </w:r>
            <w:r>
              <w:rPr>
                <w:rFonts w:ascii="DejaVu Sans" w:hAnsi="DejaVu Sans" w:cs="DejaVu Sans"/>
                <w:b w:val="0"/>
                <w:sz w:val="22"/>
              </w:rPr>
              <w:t xml:space="preserve"> — QNM. Maqnit-toz üsulu. Tipik texnoloji proseslər</w:t>
            </w:r>
          </w:p>
        </w:tc>
        <w:tc>
          <w:tcPr>
            <w:tcW w:type="dxa" w:w="3685"/>
          </w:tcPr>
          <w:p>
            <w:r>
              <w:rPr>
                <w:rFonts w:ascii="DejaVu Sans" w:hAnsi="DejaVu Sans" w:cs="DejaVu Sans"/>
                <w:b w:val="0"/>
                <w:sz w:val="22"/>
              </w:rPr>
              <w:t>MT — maqnit-toz müayinə</w:t>
            </w:r>
          </w:p>
        </w:tc>
      </w:tr>
    </w:tbl>
    <w:p/>
    <w:p/>
    <w:p>
      <w:pPr>
        <w:jc w:val="left"/>
      </w:pPr>
      <w:r>
        <w:rPr>
          <w:rFonts w:ascii="DejaVu Sans" w:hAnsi="DejaVu Sans" w:cs="DejaVu Sans"/>
          <w:b w:val="0"/>
          <w:sz w:val="22"/>
        </w:rPr>
        <w:t>Ad, Soyad: ______________________________</w:t>
      </w:r>
    </w:p>
    <w:p>
      <w:pPr>
        <w:jc w:val="left"/>
      </w:pPr>
      <w:r>
        <w:rPr>
          <w:rFonts w:ascii="DejaVu Sans" w:hAnsi="DejaVu Sans" w:cs="DejaVu Sans"/>
          <w:b w:val="0"/>
          <w:sz w:val="22"/>
        </w:rPr>
        <w:t>Vəzifə: ______________________________</w:t>
      </w:r>
    </w:p>
    <w:p>
      <w:pPr>
        <w:jc w:val="left"/>
      </w:pPr>
      <w:r>
        <w:rPr>
          <w:rFonts w:ascii="DejaVu Sans" w:hAnsi="DejaVu Sans" w:cs="DejaVu Sans"/>
          <w:b w:val="0"/>
          <w:sz w:val="22"/>
        </w:rPr>
        <w:t>İmza: ______________________________</w:t>
      </w:r>
    </w:p>
    <w:p>
      <w:pPr>
        <w:jc w:val="left"/>
      </w:pPr>
      <w:r>
        <w:rPr>
          <w:rFonts w:ascii="DejaVu Sans" w:hAnsi="DejaVu Sans" w:cs="DejaVu Sans"/>
          <w:b w:val="0"/>
          <w:sz w:val="22"/>
        </w:rPr>
        <w:t>Tarix: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