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3.1 阶段冻结与遗留问题移交</w:t>
      </w:r>
    </w:p>
    <w:p>
      <w:pPr>
        <w:pStyle w:val="Subtitle"/>
      </w:pPr>
      <w:r>
        <w:t>教师/带教交付稿  |  2026 年 10 月 26 日  |  依据已保存检查与开发集记录整理</w:t>
      </w:r>
    </w:p>
    <w:p>
      <w:pPr>
        <w:pStyle w:val="Heading1"/>
      </w:pPr>
      <w:r>
        <w:t>一、阶段结论与判定口径</w:t>
      </w:r>
    </w:p>
    <w:p>
      <w:r>
        <w:rPr>
          <w:b/>
        </w:rPr>
        <w:t>结论：</w:t>
      </w:r>
      <w:r>
        <w:rPr>
          <w:b w:val="0"/>
        </w:rPr>
        <w:t>PRD 3.1 已记录阶段冻结检查状态 PRD31_STAGE_FREEZE_READY，建议固定当前已验证 V5 配置并将效果、时延与未覆盖场景列为遗留项移交 3.2。此结论不是对原始 PRD 全部指标、最新 3.2 模型或正式生产端到端服务的验收。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3294"/>
        <w:gridCol w:w="3294"/>
      </w:tblGrid>
      <w:tr>
        <w:trPr>
          <w:cantSplit/>
        </w:trPr>
        <w:tc>
          <w:tcPr>
            <w:tcW w:type="dxa" w:w="1757"/>
            <w:shd w:fill="E9EEF5"/>
            <w:vAlign w:val="center"/>
          </w:tcPr>
          <w:p>
            <w:r>
              <w:rPr>
                <w:b/>
                <w:sz w:val="16"/>
              </w:rPr>
              <w:t>事项</w:t>
            </w:r>
          </w:p>
        </w:tc>
        <w:tc>
          <w:tcPr>
            <w:tcW w:type="dxa" w:w="2381"/>
            <w:shd w:fill="E9EEF5"/>
            <w:vAlign w:val="center"/>
          </w:tcPr>
          <w:p>
            <w:r>
              <w:rPr>
                <w:b/>
                <w:sz w:val="16"/>
              </w:rPr>
              <w:t>当前判定</w:t>
            </w:r>
          </w:p>
        </w:tc>
        <w:tc>
          <w:tcPr>
            <w:tcW w:type="dxa" w:w="4592"/>
            <w:shd w:fill="E9EEF5"/>
            <w:vAlign w:val="center"/>
          </w:tcPr>
          <w:p>
            <w:r>
              <w:rPr>
                <w:b/>
                <w:sz w:val="16"/>
              </w:rPr>
              <w:t>界限/说明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5"/>
              </w:rPr>
              <w:t>3.1 阶段冻结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READY（既有 AutoDL 执行记录）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sz w:val="15"/>
              </w:rPr>
              <w:t>历史接口/文件身份检查已记录通过；原冻结 JSON 未随本包提供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3.1 → 3.2 对接</w:t>
            </w:r>
          </w:p>
        </w:tc>
        <w:tc>
          <w:tcPr>
            <w:tcW w:type="dxa" w:w="2381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历史桥接样本无发现的结构阻塞</w:t>
            </w:r>
          </w:p>
        </w:tc>
        <w:tc>
          <w:tcPr>
            <w:tcW w:type="dxa" w:w="4592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20 图、109 实例与 12 条开发请求；非新 GPU 模型实时重跑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5"/>
              </w:rPr>
              <w:t>3.2 最新 V3 输出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严格 Schema 9/14；另 5/14 不合法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sz w:val="15"/>
              </w:rPr>
              <w:t>3 个非法 shirt 类别；2 个字符串 "null"；属于 3.2 输出协议问题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3.2 当前开发基线</w:t>
            </w:r>
          </w:p>
        </w:tc>
        <w:tc>
          <w:tcPr>
            <w:tcW w:type="dxa" w:w="2381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保留 V2；V3 负向消融不晋级</w:t>
            </w:r>
          </w:p>
        </w:tc>
        <w:tc>
          <w:tcPr>
            <w:tcW w:type="dxa" w:w="4592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7 张非盲开发图 × 两种输入；不代表 8 类正式验收</w:t>
            </w:r>
          </w:p>
        </w:tc>
      </w:tr>
    </w:tbl>
    <w:p>
      <w:pPr>
        <w:spacing w:after="0"/>
      </w:pPr>
    </w:p>
    <w:p>
      <w:pPr>
        <w:pStyle w:val="Heading1"/>
      </w:pPr>
      <w:r>
        <w:t>二、冻结版本与边界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1"/>
        <w:gridCol w:w="4941"/>
      </w:tblGrid>
      <w:tr>
        <w:trPr>
          <w:cantSplit/>
        </w:trPr>
        <w:tc>
          <w:tcPr>
            <w:tcW w:type="dxa" w:w="2268"/>
            <w:shd w:fill="E9EEF5"/>
            <w:vAlign w:val="center"/>
          </w:tcPr>
          <w:p>
            <w:r>
              <w:rPr>
                <w:b/>
                <w:sz w:val="16"/>
              </w:rPr>
              <w:t>项目</w:t>
            </w:r>
          </w:p>
        </w:tc>
        <w:tc>
          <w:tcPr>
            <w:tcW w:type="dxa" w:w="6406"/>
            <w:shd w:fill="E9EEF5"/>
            <w:vAlign w:val="center"/>
          </w:tcPr>
          <w:p>
            <w:r>
              <w:rPr>
                <w:b/>
                <w:sz w:val="16"/>
              </w:rPr>
              <w:t>冻结/记录值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候选编号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sz w:val="15"/>
              </w:rPr>
              <w:t>PRD31_CANDIDATE_20261022_WHITE_SAM_REUSE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冻结组件</w:t>
            </w:r>
          </w:p>
        </w:tc>
        <w:tc>
          <w:tcPr>
            <w:tcW w:type="dxa" w:w="640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V5 Mask R-CNN 分割 checkpoint；未编译 white-sam 重用候选；white 回退入口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V5 checkpoint SHA256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sz w:val="15"/>
              </w:rPr>
              <w:t>c5ba795225349b1c521aac0517ac7c493d9818dcc17d558ac4a3f6f8669452f0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当前活动源码</w:t>
            </w:r>
          </w:p>
        </w:tc>
        <w:tc>
          <w:tcPr>
            <w:tcW w:type="dxa" w:w="640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quality_guards.py / region_semantics.py / model_backends.py / pipeline.py（SHA256 见版本记录）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历史 GitHub 标签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sz w:val="15"/>
              </w:rPr>
              <w:t>prd31-stage-20261023（历史发布标签，不代表本次已新增提交）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版本文件缺口</w:t>
            </w:r>
          </w:p>
        </w:tc>
        <w:tc>
          <w:tcPr>
            <w:tcW w:type="dxa" w:w="640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原 freeze_record.json / summary.json、真实 bridge_inputs.jsonl、Git commit hash 尚待从 AutoDL/仓库核对</w:t>
            </w:r>
          </w:p>
        </w:tc>
      </w:tr>
    </w:tbl>
    <w:p>
      <w:pPr>
        <w:spacing w:after="0"/>
      </w:pPr>
    </w:p>
    <w:p>
      <w:r>
        <w:t>冻结检查脚本为只读验证：不训练、不重新推理、不改变阈值，也不自动写 Git。现有脚本和本地嵌入数据可重算接口计数；源码/权重 SHA 的服务器端匹配依赖当天 AutoDL 运行记录，不能由归档脚本单独重新证明。</w:t>
      </w:r>
    </w:p>
    <w:p>
      <w:pPr>
        <w:pStyle w:val="Heading1"/>
      </w:pPr>
      <w:r>
        <w:t>三、接口冻结条件与检查依据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3294"/>
        <w:gridCol w:w="3294"/>
      </w:tblGrid>
      <w:tr>
        <w:trPr>
          <w:cantSplit/>
        </w:trPr>
        <w:tc>
          <w:tcPr>
            <w:tcW w:type="dxa" w:w="1757"/>
            <w:shd w:fill="E9EEF5"/>
            <w:vAlign w:val="center"/>
          </w:tcPr>
          <w:p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5443"/>
            <w:shd w:fill="E9EEF5"/>
            <w:vAlign w:val="center"/>
          </w:tcPr>
          <w:p>
            <w:r>
              <w:rPr>
                <w:b/>
                <w:sz w:val="16"/>
              </w:rPr>
              <w:t>已知结果 / 防线</w:t>
            </w:r>
          </w:p>
        </w:tc>
        <w:tc>
          <w:tcPr>
            <w:tcW w:type="dxa" w:w="1474"/>
            <w:shd w:fill="E9EEF5"/>
            <w:vAlign w:val="center"/>
          </w:tcPr>
          <w:p>
            <w:r>
              <w:rPr>
                <w:b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5"/>
              </w:rPr>
              <w:t>请求/实例关联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>
              <w:rPr>
                <w:sz w:val="15"/>
              </w:rPr>
              <w:t>实例 ID 唯一性、存在性、请求目标关联；历史 12 条请求准备成功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5"/>
              </w:rPr>
              <w:t>样本内通过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图片身份/坐标</w:t>
            </w:r>
          </w:p>
        </w:tc>
        <w:tc>
          <w:tcPr>
            <w:tcW w:type="dxa" w:w="544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来源尺寸、image SHA、目标 bbox 合法性；4 张指定图片与源码/权重身份在既有运行中被报告匹配</w:t>
            </w:r>
          </w:p>
        </w:tc>
        <w:tc>
          <w:tcPr>
            <w:tcW w:type="dxa" w:w="1474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既有记录通过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5"/>
              </w:rPr>
              <w:t>缺失局部字段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>
              <w:rPr>
                <w:sz w:val="15"/>
              </w:rPr>
              <w:t>不完整袖口/下摆/领口等不强制填为事实；使用显式未知或降级路径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5"/>
              </w:rPr>
              <w:t>非默认全局阻塞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新多模态模型输出</w:t>
            </w:r>
          </w:p>
        </w:tc>
        <w:tc>
          <w:tcPr>
            <w:tcW w:type="dxa" w:w="544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3.2 V3 原生严格 JSON 为 0/14；严格 Schema 9/14</w:t>
            </w:r>
          </w:p>
        </w:tc>
        <w:tc>
          <w:tcPr>
            <w:tcW w:type="dxa" w:w="1474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3.2 自身协议风险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5"/>
              </w:rPr>
              <w:t>真实线上端到端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>
              <w:rPr>
                <w:sz w:val="15"/>
              </w:rPr>
              <w:t>生产 API、空框/坏框/失效路径、服务 P95/QPS 尚无统一覆盖证据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5"/>
              </w:rPr>
              <w:t>待专项联调</w:t>
            </w:r>
          </w:p>
        </w:tc>
      </w:tr>
    </w:tbl>
    <w:p>
      <w:pPr>
        <w:spacing w:after="0"/>
      </w:pPr>
    </w:p>
    <w:p>
      <w:r>
        <w:t>本次对原检查脚本内部快照再核算：20 张历史图、109 个实例、12 条准备请求，interface_blockers = 0；同时有 83 条可选质量提醒。提醒按字段/区域重复统计，不等于 83 个独立失败，更不可换算模型准确率。</w:t>
      </w:r>
    </w:p>
    <w:p>
      <w:pPr>
        <w:pStyle w:val="Heading1"/>
      </w:pPr>
      <w:r>
        <w:t>四、遗留问题：阻塞与非阻塞分开移交</w:t>
      </w:r>
    </w:p>
    <w:p>
      <w:pPr>
        <w:pStyle w:val="Heading2"/>
      </w:pPr>
      <w:r>
        <w:t>A. P0 / 可能导致接口或严格消费者无法工作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3294"/>
        <w:gridCol w:w="3294"/>
      </w:tblGrid>
      <w:tr>
        <w:trPr>
          <w:cantSplit/>
        </w:trPr>
        <w:tc>
          <w:tcPr>
            <w:tcW w:type="dxa" w:w="879"/>
            <w:shd w:fill="E9EEF5"/>
            <w:vAlign w:val="center"/>
          </w:tcPr>
          <w:p>
            <w:r>
              <w:rPr>
                <w:b/>
                <w:sz w:val="16"/>
              </w:rPr>
              <w:t>编号</w:t>
            </w:r>
          </w:p>
        </w:tc>
        <w:tc>
          <w:tcPr>
            <w:tcW w:type="dxa" w:w="3798"/>
            <w:shd w:fill="E9EEF5"/>
            <w:vAlign w:val="center"/>
          </w:tcPr>
          <w:p>
            <w:r>
              <w:rPr>
                <w:b/>
                <w:sz w:val="16"/>
              </w:rPr>
              <w:t>事项与影响范围</w:t>
            </w:r>
          </w:p>
        </w:tc>
        <w:tc>
          <w:tcPr>
            <w:tcW w:type="dxa" w:w="3912"/>
            <w:shd w:fill="E9EEF5"/>
            <w:vAlign w:val="center"/>
          </w:tcPr>
          <w:p>
            <w:r>
              <w:rPr>
                <w:b/>
                <w:sz w:val="16"/>
              </w:rPr>
              <w:t>下一步处置</w:t>
            </w:r>
          </w:p>
        </w:tc>
      </w:tr>
      <w:tr>
        <w:trPr>
          <w:cantSplit/>
        </w:trPr>
        <w:tc>
          <w:tcPr>
            <w:tcW w:type="dxa" w:w="879"/>
            <w:vAlign w:val="center"/>
          </w:tcPr>
          <w:p>
            <w:pPr>
              <w:spacing w:after="0"/>
            </w:pPr>
            <w:r>
              <w:rPr>
                <w:sz w:val="15"/>
              </w:rPr>
              <w:t>P0-01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5"/>
              </w:rPr>
              <w:t>真实部署字段缺失、路径失效、bbox 越界、目标实例不关联或图片 SHA 不一致时，可能阻断对应 3.2 请求；历史样本中未发现通用结构阻塞。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sz w:val="15"/>
              </w:rPr>
              <w:t>对真实 frozen 输入做 API/CLI 端到端 smoke；失败显式拒绝/回退并记录。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P0-02</w:t>
            </w:r>
          </w:p>
        </w:tc>
        <w:tc>
          <w:tcPr>
            <w:tcW w:type="dxa" w:w="379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3.2 V3 有 5/14 条严格 Schema 不合法；若将原文直接交给严格消费者则可能阻塞。</w:t>
            </w:r>
          </w:p>
        </w:tc>
        <w:tc>
          <w:tcPr>
            <w:tcW w:type="dxa" w:w="3912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服务端 schema/枚举约束；"null" 类型处理；保留原始输出和规范化结果两套指标。</w:t>
            </w:r>
          </w:p>
        </w:tc>
      </w:tr>
      <w:tr>
        <w:trPr>
          <w:cantSplit/>
        </w:trPr>
        <w:tc>
          <w:tcPr>
            <w:tcW w:type="dxa" w:w="879"/>
            <w:vAlign w:val="center"/>
          </w:tcPr>
          <w:p>
            <w:pPr>
              <w:spacing w:after="0"/>
            </w:pPr>
            <w:r>
              <w:rPr>
                <w:sz w:val="15"/>
              </w:rPr>
              <w:t>P0-03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5"/>
              </w:rPr>
              <w:t>W7 dev_10 类别冲突、dev_11 图片路径与 SHA 冲突、dev_03 历史人工参考审核不全，只阻塞对应样例或评分。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sz w:val="15"/>
              </w:rPr>
              <w:t>先核实人工 GT/图片身份，不自动解封，也不认作全局冻结失败。</w:t>
            </w:r>
          </w:p>
        </w:tc>
      </w:tr>
    </w:tbl>
    <w:p>
      <w:pPr>
        <w:spacing w:after="0"/>
      </w:pPr>
    </w:p>
    <w:p>
      <w:pPr>
        <w:pStyle w:val="Heading2"/>
      </w:pPr>
      <w:r>
        <w:t>B. P1/P2 / 可以运行但影响质量、时延或覆盖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3294"/>
        <w:gridCol w:w="3294"/>
      </w:tblGrid>
      <w:tr>
        <w:trPr>
          <w:cantSplit/>
        </w:trPr>
        <w:tc>
          <w:tcPr>
            <w:tcW w:type="dxa" w:w="1417"/>
            <w:shd w:fill="E9EEF5"/>
            <w:vAlign w:val="center"/>
          </w:tcPr>
          <w:p>
            <w:r>
              <w:rPr>
                <w:b/>
                <w:sz w:val="16"/>
              </w:rPr>
              <w:t>问题域</w:t>
            </w:r>
          </w:p>
        </w:tc>
        <w:tc>
          <w:tcPr>
            <w:tcW w:type="dxa" w:w="3600"/>
            <w:shd w:fill="E9EEF5"/>
            <w:vAlign w:val="center"/>
          </w:tcPr>
          <w:p>
            <w:r>
              <w:rPr>
                <w:b/>
                <w:sz w:val="16"/>
              </w:rPr>
              <w:t>可追溯现象</w:t>
            </w:r>
          </w:p>
        </w:tc>
        <w:tc>
          <w:tcPr>
            <w:tcW w:type="dxa" w:w="3543"/>
            <w:shd w:fill="E9EEF5"/>
            <w:vAlign w:val="center"/>
          </w:tcPr>
          <w:p>
            <w:r>
              <w:rPr>
                <w:b/>
                <w:sz w:val="16"/>
              </w:rPr>
              <w:t>后续动作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时延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5"/>
              </w:rPr>
              <w:t>历史局部查询核心均值 139.63ms、P95 178.55ms；原 30ms 目标未达。不同样本口径不与分割均值混算。</w:t>
            </w:r>
          </w:p>
        </w:tc>
        <w:tc>
          <w:tcPr>
            <w:tcW w:type="dxa" w:w="3543"/>
            <w:vAlign w:val="center"/>
          </w:tcPr>
          <w:p>
            <w:pPr>
              <w:spacing w:after="0"/>
            </w:pPr>
            <w:r>
              <w:rPr>
                <w:sz w:val="15"/>
              </w:rPr>
              <w:t>锁定配置后分模块测 P50/P95、吞吐与速度—精度 trade-off。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目标定位</w:t>
            </w:r>
          </w:p>
        </w:tc>
        <w:tc>
          <w:tcPr>
            <w:tcW w:type="dxa" w:w="3600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漏检、错选目标、袖口/下摆/领口框不完整，预测 ROI 不等于人工参考 ROI。</w:t>
            </w:r>
          </w:p>
        </w:tc>
        <w:tc>
          <w:tcPr>
            <w:tcW w:type="dxa" w:w="354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记录上游分割与局部定位分别归因；保留案例。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预测属性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5"/>
              </w:rPr>
              <w:t>颜色、图案、袖长等可误判；模型置信与人工 GT 不能混同。</w:t>
            </w:r>
          </w:p>
        </w:tc>
        <w:tc>
          <w:tcPr>
            <w:tcW w:type="dxa" w:w="3543"/>
            <w:vAlign w:val="center"/>
          </w:tcPr>
          <w:p>
            <w:pPr>
              <w:spacing w:after="0"/>
            </w:pPr>
            <w:r>
              <w:rPr>
                <w:sz w:val="15"/>
              </w:rPr>
              <w:t>不确定值显式标记；以人工 GT 独立复核。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功能覆盖</w:t>
            </w:r>
          </w:p>
        </w:tc>
        <w:tc>
          <w:tcPr>
            <w:tcW w:type="dxa" w:w="3600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3.2 只有 7 张非盲开发图，主要 top/outerwear；通用 QA、文案满意度与八类评测未完成。</w:t>
            </w:r>
          </w:p>
        </w:tc>
        <w:tc>
          <w:tcPr>
            <w:tcW w:type="dxa" w:w="354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新开发样本扩类；独立协议评估；不得使用封存 holdout 调参。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范围界限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5"/>
              </w:rPr>
              <w:t>面料、工艺、复杂设计属性按带教确认的暂缓范围处理；人工矩形 ROI 路线关闭。</w:t>
            </w:r>
          </w:p>
        </w:tc>
        <w:tc>
          <w:tcPr>
            <w:tcW w:type="dxa" w:w="3543"/>
            <w:vAlign w:val="center"/>
          </w:tcPr>
          <w:p>
            <w:pPr>
              <w:spacing w:after="0"/>
            </w:pPr>
            <w:r>
              <w:rPr>
                <w:sz w:val="15"/>
              </w:rPr>
              <w:t>按约定缩减范围交付，不伪称原始全部属性完成。</w:t>
            </w:r>
          </w:p>
        </w:tc>
      </w:tr>
    </w:tbl>
    <w:p>
      <w:pPr>
        <w:spacing w:after="0"/>
      </w:pPr>
    </w:p>
    <w:p>
      <w:pPr>
        <w:pStyle w:val="Heading1"/>
      </w:pPr>
      <w:r>
        <w:t>五、3.2 最新验证：不能倒算成 3.1 冻结失败</w:t>
      </w:r>
    </w:p>
    <w:p>
      <w:r>
        <w:t>测试为 dev_02/04/05/06/08/09/12 共 7 张非盲开发图，两种输入分别为 marked_full_image 与历史 reference_roi，合计 14 条。reference_roi 是历史人工候选框，不是当前冻结 V5 自动预测框。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cantSplit/>
        </w:trPr>
        <w:tc>
          <w:tcPr>
            <w:tcW w:type="dxa" w:w="1247"/>
            <w:shd w:fill="E9EEF5"/>
            <w:vAlign w:val="center"/>
          </w:tcPr>
          <w:p>
            <w:r>
              <w:rPr>
                <w:b/>
                <w:sz w:val="16"/>
              </w:rPr>
              <w:t>输入模式</w:t>
            </w:r>
          </w:p>
        </w:tc>
        <w:tc>
          <w:tcPr>
            <w:tcW w:type="dxa" w:w="1928"/>
            <w:shd w:fill="E9EEF5"/>
            <w:vAlign w:val="center"/>
          </w:tcPr>
          <w:p>
            <w:r>
              <w:rPr>
                <w:b/>
                <w:sz w:val="16"/>
              </w:rPr>
              <w:t>V2 类别 / 颜色 / 图案</w:t>
            </w:r>
          </w:p>
        </w:tc>
        <w:tc>
          <w:tcPr>
            <w:tcW w:type="dxa" w:w="1928"/>
            <w:shd w:fill="E9EEF5"/>
            <w:vAlign w:val="center"/>
          </w:tcPr>
          <w:p>
            <w:r>
              <w:rPr>
                <w:b/>
                <w:sz w:val="16"/>
              </w:rPr>
              <w:t>V3 类别 / 颜色 / 图案*</w:t>
            </w:r>
          </w:p>
        </w:tc>
        <w:tc>
          <w:tcPr>
            <w:tcW w:type="dxa" w:w="1247"/>
            <w:shd w:fill="E9EEF5"/>
            <w:vAlign w:val="center"/>
          </w:tcPr>
          <w:p>
            <w:r>
              <w:rPr>
                <w:b/>
                <w:sz w:val="16"/>
              </w:rPr>
              <w:t>V3 严格 Schema</w:t>
            </w:r>
          </w:p>
        </w:tc>
        <w:tc>
          <w:tcPr>
            <w:tcW w:type="dxa" w:w="2324"/>
            <w:shd w:fill="E9EEF5"/>
            <w:vAlign w:val="center"/>
          </w:tcPr>
          <w:p>
            <w:r>
              <w:rPr>
                <w:b/>
                <w:sz w:val="16"/>
              </w:rPr>
              <w:t>中位耗时 V2 → V3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标框整图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5"/>
              </w:rPr>
              <w:t>6/7、5/7、6/7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5"/>
              </w:rPr>
              <w:t>4/7、3/7、3/7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4/7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5"/>
              </w:rPr>
              <w:t>1370.53 → 2237.39 ms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历史参考 ROI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6/7、5/7、6/7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5/7、3/7、3/7</w:t>
            </w:r>
          </w:p>
        </w:tc>
        <w:tc>
          <w:tcPr>
            <w:tcW w:type="dxa" w:w="1247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5/7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1305.97 → 2250.30 ms</w:t>
            </w:r>
          </w:p>
        </w:tc>
      </w:tr>
    </w:tbl>
    <w:p>
      <w:pPr>
        <w:spacing w:after="0"/>
      </w:pPr>
    </w:p>
    <w:p>
      <w:r>
        <w:t>* V3 颜色/图案为官方严格 Schema 门控评分；非法类别/字段导致整行不可评，不能把部分原始字段的偶然正确当成正式准确率。V2 模型原生严格 JSON 也是 0/14；14/14 指其服务端可解析/规范化，不代表模型遵守原生协议。</w:t>
      </w:r>
    </w:p>
    <w:p>
      <w:r>
        <w:br w:type="page"/>
      </w:r>
    </w:p>
    <w:p>
      <w:pPr>
        <w:pStyle w:val="Heading2"/>
      </w:pPr>
      <w:r>
        <w:t>3.2 V3 协议失败明细（5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</w:tblGrid>
      <w:tr>
        <w:trPr>
          <w:cantSplit/>
        </w:trPr>
        <w:tc>
          <w:tcPr>
            <w:tcW w:type="dxa" w:w="1219"/>
            <w:shd w:fill="E9EEF5"/>
            <w:vAlign w:val="center"/>
          </w:tcPr>
          <w:p>
            <w:r>
              <w:rPr>
                <w:b/>
                <w:sz w:val="16"/>
              </w:rPr>
              <w:t>失败编号</w:t>
            </w:r>
          </w:p>
        </w:tc>
        <w:tc>
          <w:tcPr>
            <w:tcW w:type="dxa" w:w="1729"/>
            <w:shd w:fill="E9EEF5"/>
            <w:vAlign w:val="center"/>
          </w:tcPr>
          <w:p>
            <w:r>
              <w:rPr>
                <w:b/>
                <w:sz w:val="16"/>
              </w:rPr>
              <w:t>输入</w:t>
            </w:r>
          </w:p>
        </w:tc>
        <w:tc>
          <w:tcPr>
            <w:tcW w:type="dxa" w:w="2551"/>
            <w:shd w:fill="E9EEF5"/>
            <w:vAlign w:val="center"/>
          </w:tcPr>
          <w:p>
            <w:r>
              <w:rPr>
                <w:b/>
                <w:sz w:val="16"/>
              </w:rPr>
              <w:t>严格校验失败</w:t>
            </w:r>
          </w:p>
        </w:tc>
        <w:tc>
          <w:tcPr>
            <w:tcW w:type="dxa" w:w="3175"/>
            <w:shd w:fill="E9EEF5"/>
            <w:vAlign w:val="center"/>
          </w:tcPr>
          <w:p>
            <w:r>
              <w:rPr>
                <w:b/>
                <w:sz w:val="16"/>
              </w:rPr>
              <w:t>边界说明</w:t>
            </w:r>
          </w:p>
        </w:tc>
      </w:tr>
      <w:tr>
        <w:trPr>
          <w:cantSplit/>
        </w:trPr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sz w:val="15"/>
              </w:rPr>
              <w:t>dev_04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sz w:val="15"/>
              </w:rPr>
              <w:t>标框整图 + 参考 ROI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category = "shirt"（2 条）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5"/>
              </w:rPr>
              <w:t>类别不在八类枚举；颜色/图案原始字段正确不代表整行可用</w:t>
            </w:r>
          </w:p>
        </w:tc>
      </w:tr>
      <w:tr>
        <w:trPr>
          <w:cantSplit/>
        </w:trPr>
        <w:tc>
          <w:tcPr>
            <w:tcW w:type="dxa" w:w="1219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dev_05</w:t>
            </w:r>
          </w:p>
        </w:tc>
        <w:tc>
          <w:tcPr>
            <w:tcW w:type="dxa" w:w="1729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标框整图</w:t>
            </w:r>
          </w:p>
        </w:tc>
        <w:tc>
          <w:tcPr>
            <w:tcW w:type="dxa" w:w="2551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category = "shirt"（1 条）</w:t>
            </w:r>
          </w:p>
        </w:tc>
        <w:tc>
          <w:tcPr>
            <w:tcW w:type="dxa" w:w="3175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同属非法类别；不得记作上游 3.1 接口阻塞</w:t>
            </w:r>
          </w:p>
        </w:tc>
      </w:tr>
      <w:tr>
        <w:trPr>
          <w:cantSplit/>
        </w:trPr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sz w:val="15"/>
              </w:rPr>
              <w:t>dev_12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sz w:val="15"/>
              </w:rPr>
              <w:t>标框整图 + 参考 ROI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strap = "null"（2 条）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5"/>
              </w:rPr>
              <w:t>字符串 null ≠ JSON null，违反字段取值规范</w:t>
            </w:r>
          </w:p>
        </w:tc>
      </w:tr>
    </w:tbl>
    <w:p>
      <w:pPr>
        <w:spacing w:after="0"/>
      </w:pPr>
    </w:p>
    <w:p>
      <w:r>
        <w:t>版本判断：V2 继续作为 3.2 当前较优开发基线；V3 仅保留为结构化设计字段的失败消融。上述 n=7 是相关、非盲样本，原生严格 JSON 0/14、QA/文案满意度/全类泛化和服务 P95/QPS 均尚不能宣称通过。</w:t>
      </w:r>
    </w:p>
    <w:p>
      <w:pPr>
        <w:pStyle w:val="Heading1"/>
      </w:pPr>
      <w:r>
        <w:t>六、交付附件、复现步骤与待补证据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1"/>
        <w:gridCol w:w="4941"/>
      </w:tblGrid>
      <w:tr>
        <w:trPr>
          <w:cantSplit/>
        </w:trPr>
        <w:tc>
          <w:tcPr>
            <w:tcW w:type="dxa" w:w="2353"/>
            <w:shd w:fill="E9EEF5"/>
            <w:vAlign w:val="center"/>
          </w:tcPr>
          <w:p>
            <w:r>
              <w:rPr>
                <w:b/>
                <w:sz w:val="16"/>
              </w:rPr>
              <w:t>交付物</w:t>
            </w:r>
          </w:p>
        </w:tc>
        <w:tc>
          <w:tcPr>
            <w:tcW w:type="dxa" w:w="6236"/>
            <w:shd w:fill="E9EEF5"/>
            <w:vAlign w:val="center"/>
          </w:tcPr>
          <w:p>
            <w:r>
              <w:rPr>
                <w:b/>
                <w:sz w:val="16"/>
              </w:rPr>
              <w:t>包含内容 / 可使用方式</w:t>
            </w:r>
          </w:p>
        </w:tc>
      </w:tr>
      <w:tr>
        <w:trPr>
          <w:cantSplit/>
        </w:trPr>
        <w:tc>
          <w:tcPr>
            <w:tcW w:type="dxa" w:w="2353"/>
            <w:vAlign w:val="center"/>
          </w:tcPr>
          <w:p>
            <w:pPr>
              <w:spacing w:after="0"/>
            </w:pPr>
            <w:r>
              <w:rPr>
                <w:sz w:val="15"/>
              </w:rPr>
              <w:t>Word + PDF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sz w:val="15"/>
              </w:rPr>
              <w:t>本阶段结论、冻结口径、风险清单、3.2 分域结论及执行项；可供 Vic 审阅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GITHUB_STAGE_FREEZE_HANDOFF.md</w:t>
            </w:r>
          </w:p>
        </w:tc>
        <w:tc>
          <w:tcPr>
            <w:tcW w:type="dxa" w:w="623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可直接放入仓库 docs/ 的交接说明；不表示已推送到 GitHub</w:t>
            </w:r>
          </w:p>
        </w:tc>
      </w:tr>
      <w:tr>
        <w:trPr>
          <w:cantSplit/>
        </w:trPr>
        <w:tc>
          <w:tcPr>
            <w:tcW w:type="dxa" w:w="2353"/>
            <w:vAlign w:val="center"/>
          </w:tcPr>
          <w:p>
            <w:pPr>
              <w:spacing w:after="0"/>
            </w:pPr>
            <w:r>
              <w:rPr>
                <w:sz w:val="15"/>
              </w:rPr>
              <w:t>PRD31_issues_handoff.csv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sz w:val="15"/>
              </w:rPr>
              <w:t>逐条风险分级，含阻塞定义、影响范围、处置、验证标准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freeze_version_record.json</w:t>
            </w:r>
          </w:p>
        </w:tc>
        <w:tc>
          <w:tcPr>
            <w:tcW w:type="dxa" w:w="623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候选编号、已记录 checkpoint/source SHA、证据边界、缺失项（不是 GPU 原始 freeze_record）</w:t>
            </w:r>
          </w:p>
        </w:tc>
      </w:tr>
      <w:tr>
        <w:trPr>
          <w:cantSplit/>
        </w:trPr>
        <w:tc>
          <w:tcPr>
            <w:tcW w:type="dxa" w:w="2353"/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evidence_recheck.json + CSV/JSON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sz w:val="15"/>
              </w:rPr>
              <w:t>由恢复脚本/原始 V3 诊断 CSV 本地复算的计数及最小原始证据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prd31_stage_freeze_check_20261026.py</w:t>
            </w:r>
          </w:p>
        </w:tc>
        <w:tc>
          <w:tcPr>
            <w:tcW w:type="dxa" w:w="6236"/>
            <w:vAlign w:val="center"/>
            <w:shd w:fill="F6F8FB"/>
          </w:tcPr>
          <w:p>
            <w:pPr>
              <w:spacing w:after="0"/>
            </w:pPr>
            <w:r>
              <w:rPr>
                <w:sz w:val="15"/>
              </w:rPr>
              <w:t>原冻结检查只读脚本，运行时必须指向 AutoDL 正确项目路径</w:t>
            </w:r>
          </w:p>
        </w:tc>
      </w:tr>
    </w:tbl>
    <w:p>
      <w:pPr>
        <w:spacing w:after="0"/>
      </w:pPr>
    </w:p>
    <w:p>
      <w:pPr>
        <w:pStyle w:val="Heading2"/>
      </w:pPr>
      <w:r>
        <w:t>AutoDL 上的核验命令（仅在项目/权重仍完整时）</w:t>
      </w:r>
    </w:p>
    <w:p>
      <w:r/>
      <w:r>
        <w:rPr>
          <w:rFonts w:ascii="DejaVu Sans Mono" w:hAnsi="DejaVu Sans Mono"/>
          <w:sz w:val="16"/>
        </w:rPr>
        <w:t>cd /workspace/fashion_multimodal_analysis</w:t>
        <w:br/>
        <w:t>python prd31_stage_freeze_check_20261026.py --project . --output /workspace/prd31_stage_freeze_20261026</w:t>
      </w:r>
    </w:p>
    <w:p>
      <w:r>
        <w:t>请从服务器补取 /workspace/prd31_stage_freeze_20261026/summary.json、freeze_record.json、bridge_inputs.jsonl、optional_quality_warnings.json，并核对真实 Git commit、模型路径/权重、正式对接服务日志。当前对话恢复的材料不包含这些原件，不能用本次生成的版本记录替代它们。</w:t>
      </w:r>
    </w:p>
    <w:p>
      <w:pPr>
        <w:pStyle w:val="Heading2"/>
      </w:pPr>
      <w:r>
        <w:t>移交后的执行顺序</w:t>
      </w:r>
    </w:p>
    <w:p>
      <w:pPr>
        <w:pStyle w:val="ListBullet"/>
      </w:pPr>
      <w:r>
        <w:t>先在冻结版本上修复能使 3.2 请求失败的字段、身份与 Schema 问题；通过异常输入端到端 smoke 后再评价质量。</w:t>
      </w:r>
    </w:p>
    <w:p>
      <w:pPr>
        <w:pStyle w:val="ListBullet"/>
      </w:pPr>
      <w:r>
        <w:t>固定 V2 作为 3.2 的开发对照，在新样本实现问答、受控属性、商品文案的统一入口；区分输入来源。</w:t>
      </w:r>
    </w:p>
    <w:p>
      <w:pPr>
        <w:pStyle w:val="ListBullet"/>
      </w:pPr>
      <w:r>
        <w:t>逐步扩充八类并做独立评估与速度—精度分析；封存的 8 张 W7 holdout 维持不使用。</w:t>
      </w:r>
    </w:p>
    <w:p>
      <w:pPr>
        <w:pStyle w:val="Heading2"/>
      </w:pPr>
      <w:r>
        <w:t>提交状态说明</w:t>
      </w:r>
    </w:p>
    <w:p>
      <w:r>
        <w:t>本文件根据 2026-10-26 的可恢复源文件与对话所记执行结果整理，重点完成“冻结版本、阻塞与非阻塞问题区分、遗留清单移交”。它不是由本聊天现场连接 AutoDL 再跑的一次正式验收，也未自动提交/推送 GitHub。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49" w:right="1179" w:bottom="964" w:left="11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2026-10-26  ·  阶段冻结与遗留问题移交  ·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Alibaba Fashion Vision  |  PRD 3.1 → PRD 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212B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D6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05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F6F8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