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"/>
        <w:jc w:val="center"/>
      </w:pPr>
      <w:r>
        <w:rPr>
          <w:rFonts w:ascii="Hiragino Sans GB" w:hAnsi="Hiragino Sans GB" w:eastAsia="Hiragino Sans GB"/>
          <w:b/>
          <w:sz w:val="32"/>
        </w:rPr>
        <w:t>本周工作汇报：服饰细粒度视觉模块（3.1.3 属性识别）</w:t>
      </w:r>
    </w:p>
    <w:p>
      <w:pPr>
        <w:spacing w:after="80"/>
        <w:jc w:val="center"/>
      </w:pPr>
      <w:r>
        <w:rPr>
          <w:rFonts w:ascii="Hiragino Sans GB" w:hAnsi="Hiragino Sans GB" w:eastAsia="Hiragino Sans GB"/>
          <w:b w:val="0"/>
          <w:color w:val="5C5C5C"/>
          <w:sz w:val="20"/>
        </w:rPr>
        <w:t>汇报周期：第八周｜目标：属性识别准确率 ≥88%，单次提取 ≤20 ms</w:t>
      </w:r>
    </w:p>
    <w:p>
      <w:pPr>
        <w:pStyle w:val="Heading1"/>
      </w:pPr>
      <w:r>
        <w:t>一、本周目标与数据协议</w:t>
      </w:r>
    </w:p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本周进入 3.1.3「细粒度属性提取」，目标是输入商品图像和目标区域 mask，输出属性标签及置信度，并同时满足准确率 ≥88% 与单次提取 ≤20 ms。按照导师提出的分层采样要求，我先合并 FashionAI Round1 A/B 人工答案，去重后按（属性头，strict y 类别）做确定性 80/10/10 划分；所有同图记录绑定到同一分组，验证和测试不参与训练。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c>
          <w:tcPr>
            <w:tcW w:type="dxa" w:w="1440"/>
            <w:shd w:fill="F2F4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数据规模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25,122 条原始记录 → 19,916 条去重记录</w:t>
            </w:r>
          </w:p>
        </w:tc>
        <w:tc>
          <w:tcPr>
            <w:tcW w:type="dxa" w:w="1440"/>
            <w:shd w:fill="F2F4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划分结果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15,930 / 1,993 / 1,993</w:t>
            </w:r>
          </w:p>
        </w:tc>
      </w:tr>
      <w:tr>
        <w:tc>
          <w:tcPr>
            <w:tcW w:type="dxa" w:w="1440"/>
            <w:shd w:fill="F2F4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分层键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属性头 + strict y 类别，seed=42</w:t>
            </w:r>
          </w:p>
        </w:tc>
        <w:tc>
          <w:tcPr>
            <w:tcW w:type="dxa" w:w="1440"/>
            <w:shd w:fill="F2F4F7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防泄漏</w:t>
            </w:r>
          </w:p>
        </w:tc>
        <w:tc>
          <w:tcPr>
            <w:tcW w:type="dxa" w:w="33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7"/>
              </w:rPr>
              <w:t>按稳定图像 ID 分组，三组重叠均为 0</w:t>
            </w:r>
          </w:p>
        </w:tc>
      </w:tr>
    </w:tbl>
    <w:p>
      <w:pPr>
        <w:pStyle w:val="Heading1"/>
      </w:pPr>
      <w:r>
        <w:t>二、固定验证集上的受控实验</w:t>
      </w:r>
    </w:p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在相同的 15,930/1,993 训练与验证清单、seed 和八个属性头上逐项消融。输入方式、backbone、学习率调度和训练周期均一次只改一个因素；模型选择只看 validation strict accuracy。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520"/>
        <w:gridCol w:w="1080"/>
        <w:gridCol w:w="1224"/>
        <w:gridCol w:w="1224"/>
        <w:gridCol w:w="1152"/>
      </w:tblGrid>
      <w:tr>
        <w:tc>
          <w:tcPr>
            <w:tcW w:type="dxa" w:w="2448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方案</w:t>
            </w:r>
          </w:p>
        </w:tc>
        <w:tc>
          <w:tcPr>
            <w:tcW w:type="dxa" w:w="2520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核心变更</w:t>
            </w:r>
          </w:p>
        </w:tc>
        <w:tc>
          <w:tcPr>
            <w:tcW w:type="dxa" w:w="1080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epoch</w:t>
            </w:r>
          </w:p>
        </w:tc>
        <w:tc>
          <w:tcPr>
            <w:tcW w:type="dxa" w:w="1224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严格</w:t>
            </w:r>
          </w:p>
        </w:tc>
        <w:tc>
          <w:tcPr>
            <w:tcW w:type="dxa" w:w="1224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可接受</w:t>
            </w:r>
          </w:p>
        </w:tc>
        <w:tc>
          <w:tcPr>
            <w:tcW w:type="dxa" w:w="1152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判断</w:t>
            </w:r>
          </w:p>
        </w:tc>
      </w:tr>
      <w:tr>
        <w:tc>
          <w:tcPr>
            <w:tcW w:type="dxa" w:w="24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MobileNet 基线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crop + 固定学习率</w:t>
            </w:r>
          </w:p>
        </w:tc>
        <w:tc>
          <w:tcPr>
            <w:tcW w:type="dxa" w:w="10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8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0.6086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0.6141</w:t>
            </w:r>
          </w:p>
        </w:tc>
        <w:tc>
          <w:tcPr>
            <w:tcW w:type="dxa" w:w="115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起点</w:t>
            </w:r>
          </w:p>
        </w:tc>
      </w:tr>
      <w:tr>
        <w:tc>
          <w:tcPr>
            <w:tcW w:type="dxa" w:w="24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全图输入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仅改 full-frame</w:t>
            </w:r>
          </w:p>
        </w:tc>
        <w:tc>
          <w:tcPr>
            <w:tcW w:type="dxa" w:w="10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5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0.6106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0.6182</w:t>
            </w:r>
          </w:p>
        </w:tc>
        <w:tc>
          <w:tcPr>
            <w:tcW w:type="dxa" w:w="115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微增</w:t>
            </w:r>
          </w:p>
        </w:tc>
      </w:tr>
      <w:tr>
        <w:tc>
          <w:tcPr>
            <w:tcW w:type="dxa" w:w="24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低 backbone LR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backbone 3e-5</w:t>
            </w:r>
          </w:p>
        </w:tc>
        <w:tc>
          <w:tcPr>
            <w:tcW w:type="dxa" w:w="10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10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0.5610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0.5680</w:t>
            </w:r>
          </w:p>
        </w:tc>
        <w:tc>
          <w:tcPr>
            <w:tcW w:type="dxa" w:w="115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拒绝</w:t>
            </w:r>
          </w:p>
        </w:tc>
      </w:tr>
      <w:tr>
        <w:tc>
          <w:tcPr>
            <w:tcW w:type="dxa" w:w="24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MobileNet cosine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加入余弦退火</w:t>
            </w:r>
          </w:p>
        </w:tc>
        <w:tc>
          <w:tcPr>
            <w:tcW w:type="dxa" w:w="10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9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0.6101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0.6157</w:t>
            </w:r>
          </w:p>
        </w:tc>
        <w:tc>
          <w:tcPr>
            <w:tcW w:type="dxa" w:w="115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持平</w:t>
            </w:r>
          </w:p>
        </w:tc>
      </w:tr>
      <w:tr>
        <w:tc>
          <w:tcPr>
            <w:tcW w:type="dxa" w:w="24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ResNet-18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仅增大 backbone</w:t>
            </w:r>
          </w:p>
        </w:tc>
        <w:tc>
          <w:tcPr>
            <w:tcW w:type="dxa" w:w="10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6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0.6884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0.6974</w:t>
            </w:r>
          </w:p>
        </w:tc>
        <w:tc>
          <w:tcPr>
            <w:tcW w:type="dxa" w:w="115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+0.0798</w:t>
            </w:r>
          </w:p>
        </w:tc>
      </w:tr>
      <w:tr>
        <w:tc>
          <w:tcPr>
            <w:tcW w:type="dxa" w:w="24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ResNet-18 cosine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保留 backbone，改调度</w:t>
            </w:r>
          </w:p>
        </w:tc>
        <w:tc>
          <w:tcPr>
            <w:tcW w:type="dxa" w:w="10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9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0.7105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0.7220</w:t>
            </w:r>
          </w:p>
        </w:tc>
        <w:tc>
          <w:tcPr>
            <w:tcW w:type="dxa" w:w="115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+0.0221</w:t>
            </w:r>
          </w:p>
        </w:tc>
      </w:tr>
      <w:tr>
        <w:tc>
          <w:tcPr>
            <w:tcW w:type="dxa" w:w="24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ResNet-50 cosine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仅改为 ResNet-50</w:t>
            </w:r>
          </w:p>
        </w:tc>
        <w:tc>
          <w:tcPr>
            <w:tcW w:type="dxa" w:w="10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10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0.7802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0.7873</w:t>
            </w:r>
          </w:p>
        </w:tc>
        <w:tc>
          <w:tcPr>
            <w:tcW w:type="dxa" w:w="115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+0.0697</w:t>
            </w:r>
          </w:p>
        </w:tc>
      </w:tr>
      <w:tr>
        <w:tc>
          <w:tcPr>
            <w:tcW w:type="dxa" w:w="244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ResNet-50 15ep</w:t>
            </w:r>
          </w:p>
        </w:tc>
        <w:tc>
          <w:tcPr>
            <w:tcW w:type="dxa" w:w="252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延长余弦训练周期</w:t>
            </w:r>
          </w:p>
        </w:tc>
        <w:tc>
          <w:tcPr>
            <w:tcW w:type="dxa" w:w="10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13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0.7852</w:t>
            </w:r>
          </w:p>
        </w:tc>
        <w:tc>
          <w:tcPr>
            <w:tcW w:type="dxa" w:w="122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5"/>
              </w:rPr>
              <w:t>0.7943</w:t>
            </w:r>
          </w:p>
        </w:tc>
        <w:tc>
          <w:tcPr>
            <w:tcW w:type="dxa" w:w="115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5"/>
              </w:rPr>
              <w:t>选中</w:t>
            </w:r>
          </w:p>
        </w:tc>
      </w:tr>
    </w:tbl>
    <w:p>
      <w:pPr>
        <w:pStyle w:val="Heading1"/>
      </w:pPr>
      <w:r>
        <w:t>三、完成的工程与集成验证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实现 8 个动态属性头、54 个语义值、y/m/n 歧义解析、checkpoint 加载及结构化置信度输出。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跑通 standalone image+mask 推理和 3.1.1 → 3.1.2 → 3.1.3 完整管线，四个领口相关标签完全一致。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补充官方 FashionAI mAP/BasicPrecision 统计、全量数据发现与内容哈希去重，以及可选的属性空间/通道注意力。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本地完整测试达到 201 passed；旧 checkpoint 默认保持 global pooling，兼容现有推理链路。</w:t>
      </w:r>
    </w:p>
    <w:p>
      <w:pPr>
        <w:pStyle w:val="Heading1"/>
        <w:pageBreakBefore/>
      </w:pPr>
      <w:r>
        <w:t>四、选中模型与验收结果</w:t>
      </w:r>
    </w:p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选中 ResNet-50 + cosine 15ep 的 epoch 13。其 validation strict 为 0.7852，单次冻结测试得到 strict 0.7807、acceptable 0.7898；相较最初 MobileNet 测试结果 0.6071，严格准确率绝对提升 0.1736。RTX 5090 上 10 次预热、30 次测量后，3.1.3 wall-time p95 为 12.600 ms。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016"/>
        <w:gridCol w:w="1944"/>
        <w:gridCol w:w="2808"/>
      </w:tblGrid>
      <w:tr>
        <w:tc>
          <w:tcPr>
            <w:tcW w:type="dxa" w:w="2880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指标</w:t>
            </w:r>
          </w:p>
        </w:tc>
        <w:tc>
          <w:tcPr>
            <w:tcW w:type="dxa" w:w="2016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实测</w:t>
            </w:r>
          </w:p>
        </w:tc>
        <w:tc>
          <w:tcPr>
            <w:tcW w:type="dxa" w:w="1944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目标</w:t>
            </w:r>
          </w:p>
        </w:tc>
        <w:tc>
          <w:tcPr>
            <w:tcW w:type="dxa" w:w="2808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状态</w:t>
            </w:r>
          </w:p>
        </w:tc>
      </w:tr>
      <w:tr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冻结测试 strict accuracy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78.07%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≥88%</w:t>
            </w:r>
          </w:p>
        </w:tc>
        <w:tc>
          <w:tcPr>
            <w:tcW w:type="dxa" w:w="28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未通过</w:t>
            </w:r>
          </w:p>
        </w:tc>
      </w:tr>
      <w:tr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冻结测试 acceptable accuracy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78.98%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参考项</w:t>
            </w:r>
          </w:p>
        </w:tc>
        <w:tc>
          <w:tcPr>
            <w:tcW w:type="dxa" w:w="28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已记录</w:t>
            </w:r>
          </w:p>
        </w:tc>
      </w:tr>
      <w:tr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3.1.3 p95 / 最大值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12.600 / 13.245 ms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≤20 ms</w:t>
            </w:r>
          </w:p>
        </w:tc>
        <w:tc>
          <w:tcPr>
            <w:tcW w:type="dxa" w:w="28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通过</w:t>
            </w:r>
          </w:p>
        </w:tc>
      </w:tr>
      <w:tr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三阶段集成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3 个状态均为 ok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标签一致</w:t>
            </w:r>
          </w:p>
        </w:tc>
        <w:tc>
          <w:tcPr>
            <w:tcW w:type="dxa" w:w="28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通过</w:t>
            </w:r>
          </w:p>
        </w:tc>
      </w:tr>
      <w:tr>
        <w:tc>
          <w:tcPr>
            <w:tcW w:type="dxa" w:w="2880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完整管线耗时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478.673 ms</w:t>
            </w:r>
          </w:p>
        </w:tc>
        <w:tc>
          <w:tcPr>
            <w:tcW w:type="dxa" w:w="194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不属于 3.1.3 门槛</w:t>
            </w:r>
          </w:p>
        </w:tc>
        <w:tc>
          <w:tcPr>
            <w:tcW w:type="dxa" w:w="2808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单独报告</w:t>
            </w:r>
          </w:p>
        </w:tc>
      </w:tr>
    </w:tbl>
    <w:p>
      <w:pPr>
        <w:pStyle w:val="Heading1"/>
      </w:pPr>
      <w:r>
        <w:t>五、分属性结果与 88% 差距诊断</w:t>
      </w:r>
    </w:p>
    <w:tbl>
      <w:tblPr>
        <w:tblStyle w:val="TableGrid"/>
        <w:tblW w:type="dxa" w:w="9648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1584"/>
        <w:gridCol w:w="2016"/>
        <w:gridCol w:w="2376"/>
      </w:tblGrid>
      <w:tr>
        <w:tc>
          <w:tcPr>
            <w:tcW w:type="dxa" w:w="3672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属性头</w:t>
            </w:r>
          </w:p>
        </w:tc>
        <w:tc>
          <w:tcPr>
            <w:tcW w:type="dxa" w:w="1584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记录数</w:t>
            </w:r>
          </w:p>
        </w:tc>
        <w:tc>
          <w:tcPr>
            <w:tcW w:type="dxa" w:w="2016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严格准确率</w:t>
            </w:r>
          </w:p>
        </w:tc>
        <w:tc>
          <w:tcPr>
            <w:tcW w:type="dxa" w:w="2376"/>
            <w:shd w:fill="E9EEF5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/>
                <w:sz w:val="17"/>
              </w:rPr>
              <w:t>观察</w:t>
            </w:r>
          </w:p>
        </w:tc>
      </w:tr>
      <w:tr>
        <w:tc>
          <w:tcPr>
            <w:tcW w:type="dxa" w:w="367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coat_length_labels</w:t>
            </w:r>
          </w:p>
        </w:tc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286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0.7832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接近整体</w:t>
            </w:r>
          </w:p>
        </w:tc>
      </w:tr>
      <w:tr>
        <w:tc>
          <w:tcPr>
            <w:tcW w:type="dxa" w:w="367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collar_design_labels</w:t>
            </w:r>
          </w:p>
        </w:tc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210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0.7952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较稳定</w:t>
            </w:r>
          </w:p>
        </w:tc>
      </w:tr>
      <w:tr>
        <w:tc>
          <w:tcPr>
            <w:tcW w:type="dxa" w:w="367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lapel_design_labels</w:t>
            </w:r>
          </w:p>
        </w:tc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177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0.8023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当前最高</w:t>
            </w:r>
          </w:p>
        </w:tc>
      </w:tr>
      <w:tr>
        <w:tc>
          <w:tcPr>
            <w:tcW w:type="dxa" w:w="367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neck_design_labels</w:t>
            </w:r>
          </w:p>
        </w:tc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141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0.7447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主要瓶颈</w:t>
            </w:r>
          </w:p>
        </w:tc>
      </w:tr>
      <w:tr>
        <w:tc>
          <w:tcPr>
            <w:tcW w:type="dxa" w:w="367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neckline_design_labels</w:t>
            </w:r>
          </w:p>
        </w:tc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416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0.7861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样本最多</w:t>
            </w:r>
          </w:p>
        </w:tc>
      </w:tr>
      <w:tr>
        <w:tc>
          <w:tcPr>
            <w:tcW w:type="dxa" w:w="367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pant_length_labels</w:t>
            </w:r>
          </w:p>
        </w:tc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193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0.7617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仍需提升</w:t>
            </w:r>
          </w:p>
        </w:tc>
      </w:tr>
      <w:tr>
        <w:tc>
          <w:tcPr>
            <w:tcW w:type="dxa" w:w="367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skirt_length_labels</w:t>
            </w:r>
          </w:p>
        </w:tc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232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0.7500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/>
                <w:sz w:val="16"/>
              </w:rPr>
              <w:t>主要瓶颈</w:t>
            </w:r>
          </w:p>
        </w:tc>
      </w:tr>
      <w:tr>
        <w:tc>
          <w:tcPr>
            <w:tcW w:type="dxa" w:w="3672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sleeve_length_labels</w:t>
            </w:r>
          </w:p>
        </w:tc>
        <w:tc>
          <w:tcPr>
            <w:tcW w:type="dxa" w:w="1584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338</w:t>
            </w:r>
          </w:p>
        </w:tc>
        <w:tc>
          <w:tcPr>
            <w:tcW w:type="dxa" w:w="201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0.7988</w:t>
            </w:r>
          </w:p>
        </w:tc>
        <w:tc>
          <w:tcPr>
            <w:tcW w:type="dxa" w:w="2376"/>
            <w:tcMar>
              <w:top w:w="50" w:type="dxa"/>
              <w:start w:w="70" w:type="dxa"/>
              <w:bottom w:w="50" w:type="dxa"/>
              <w:end w:w="7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Sans GB" w:hAnsi="Hiragino Sans GB" w:eastAsia="Hiragino Sans GB"/>
                <w:b w:val="0"/>
                <w:sz w:val="16"/>
              </w:rPr>
              <w:t>较稳定</w:t>
            </w:r>
          </w:p>
        </w:tc>
      </w:tr>
    </w:tbl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所有属性头均低于 88%，其中 neck、skirt 和 pant 最弱；选中轮次 train strict 为 0.9964、validation 为 0.7852，差距 0.2112。PRD 记录的 FashionAI 约 8.2 万张，本轮仅 19,916 条。AutoDL 检查为 sources=[]，只有 round1_fashionAI_attributes_test_a.zip，train1/train2 缺失。</w:t>
      </w:r>
    </w:p>
    <w:p>
      <w:pPr>
        <w:spacing w:after="50" w:line="250" w:lineRule="auto"/>
      </w:pPr>
      <w:r>
        <w:rPr>
          <w:rFonts w:ascii="Hiragino Sans GB" w:hAnsi="Hiragino Sans GB" w:eastAsia="Hiragino Sans GB"/>
          <w:b w:val="0"/>
          <w:sz w:val="21"/>
        </w:rPr>
        <w:t>因此，本周不把 78.07% 写成已完成目标：软件链路与 20 ms 门槛已通过，但 88% 质量门槛仍开放；已查看的 Round1 test 固定为历史证据，不再用于调参。</w:t>
      </w:r>
    </w:p>
    <w:p>
      <w:pPr>
        <w:pStyle w:val="Heading1"/>
      </w:pPr>
      <w:r>
        <w:t>六、下周计划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确认 AutoDL 数据盘空间，下载并解压 FashionAI attributes train1/train2。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按 SHA-256 去重并生成分层 80/10/10 清单，核对零重叠后封存新 test。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先做 ResNet-50 cosine 15ep 的 data-only 对照；若仍低于 88%，再运行属性注意力版本。</w:t>
      </w:r>
    </w:p>
    <w:p>
      <w:pPr>
        <w:pStyle w:val="ListBullet"/>
        <w:spacing w:after="30" w:line="245" w:lineRule="auto"/>
        <w:ind w:left="360" w:hanging="173"/>
      </w:pPr>
      <w:r>
        <w:rPr>
          <w:rFonts w:ascii="Hiragino Sans GB" w:hAnsi="Hiragino Sans GB" w:eastAsia="Hiragino Sans GB"/>
          <w:b w:val="0"/>
          <w:sz w:val="21"/>
        </w:rPr>
        <w:t>只在 validation 上选模并复测 ≤20 ms；模型冻结后，对新 test 仅做一次最终评估。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5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3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90" w:after="3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