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艾氪智能禁用表达与内容合规规范 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文档性质：AGT-RSN-004 内容生成与交付前审核的强制规则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适用范围：官网、公众号、小红书、视频脚本、演讲稿、销售材料、媒体稿、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产品介绍、竞品分析及其他对外内容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生效日期：2026-07-30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规则负责人：企业方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执行者：独立运行的 AGT-RSN-004</w:t>
      </w:r>
    </w:p>
    <w:p>
      <w:pPr>
        <w:pStyle w:val="Heading2"/>
      </w:pPr>
      <w:r>
        <w:t>1. 规则优先级</w:t>
      </w:r>
    </w:p>
    <w:p>
      <w:r>
        <w:rPr>
          <w:rFonts w:ascii="Microsoft YaHei" w:hAnsi="Microsoft YaHei" w:eastAsia="Microsoft YaHei"/>
          <w:sz w:val="21"/>
        </w:rPr>
        <w:t>内容生成时按以下顺序处理冲突：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企业方在当前对话中的直接书面要求；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经企业方确认的本规范及后续修订版；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正式产品信息文档；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官网人物和团队介绍；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竞品调研、历史稿件及其他参考资料。</w:t>
      </w:r>
    </w:p>
    <w:p>
      <w:r>
        <w:rPr>
          <w:rFonts w:ascii="Microsoft YaHei" w:hAnsi="Microsoft YaHei" w:eastAsia="Microsoft YaHei"/>
          <w:sz w:val="21"/>
        </w:rPr>
        <w:t>低优先级材料与高优先级规则冲突时，以高优先级规则为准。参考资料中已经出现的</w:t>
      </w:r>
    </w:p>
    <w:p>
      <w:r>
        <w:rPr>
          <w:rFonts w:ascii="Microsoft YaHei" w:hAnsi="Microsoft YaHei" w:eastAsia="Microsoft YaHei"/>
          <w:sz w:val="21"/>
        </w:rPr>
        <w:t>禁用词、旧定位或未经验证的能力，不因“原文出现过”而自动取得对外使用资格。</w:t>
      </w:r>
    </w:p>
    <w:p>
      <w:pPr>
        <w:pStyle w:val="Heading2"/>
      </w:pPr>
      <w:r>
        <w:t>2. 企业定位的统一口径</w:t>
      </w:r>
    </w:p>
    <w:p>
      <w:pPr>
        <w:pStyle w:val="Heading3"/>
      </w:pPr>
      <w:r>
        <w:t>2.1 核心定位</w:t>
      </w:r>
    </w:p>
    <w:p>
      <w:r>
        <w:rPr>
          <w:rFonts w:ascii="Microsoft YaHei" w:hAnsi="Microsoft YaHei" w:eastAsia="Microsoft YaHei"/>
          <w:sz w:val="21"/>
        </w:rPr>
        <w:t>推荐标准表述：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艾氪智能专注于企业 AI 与产业 AI，构建产业级 Agentic OS 和产业级多智能体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协同操作系统，帮助企业推进 AI 转型、AI 商业模式升级和业务 AI 化。</w:t>
      </w:r>
    </w:p>
    <w:p>
      <w:r>
        <w:rPr>
          <w:rFonts w:ascii="Microsoft YaHei" w:hAnsi="Microsoft YaHei" w:eastAsia="Microsoft YaHei"/>
          <w:sz w:val="21"/>
        </w:rPr>
        <w:t>根据内容场景，可以使用以下已批准概念：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 AI；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 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产业级多智能体协同操作系统；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转型；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商业模式升级；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化、业务 AI 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专业智能体、多智能体协同、智能体团队；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让 AI 进入企业真实业务场景；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帮助企业建立可运行、可治理、可持续演进的 AI 能力。</w:t>
      </w:r>
    </w:p>
    <w:p>
      <w:pPr>
        <w:pStyle w:val="Heading3"/>
      </w:pPr>
      <w:r>
        <w:t>2.2 定位表达原则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先说明“企业 AI、产业 AI、Agentic OS、多智能体协同”，再介绍具体功能；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不把艾氪智能降格描述为单点 AI 工具、聊天机器人、插件或通用办公助手；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不把产品价值缩减为提高单个环节效率；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对不同产品分别使用其正式定位，不把一款产品的能力转移给另一款产品；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“帮助、支持、面向、用于”优先于“彻底解决、完全替代、保证实现”。</w:t>
      </w:r>
    </w:p>
    <w:p>
      <w:pPr>
        <w:pStyle w:val="Heading2"/>
      </w:pPr>
      <w:r>
        <w:t>3. 禁用定位和受限词</w:t>
      </w:r>
    </w:p>
    <w:p>
      <w:pPr>
        <w:pStyle w:val="Heading3"/>
      </w:pPr>
      <w:r>
        <w:t>3.1 正向介绍中禁止使用</w:t>
      </w:r>
    </w:p>
    <w:p>
      <w:r>
        <w:rPr>
          <w:rFonts w:ascii="Microsoft YaHei" w:hAnsi="Microsoft YaHei" w:eastAsia="Microsoft YaHei"/>
          <w:sz w:val="21"/>
        </w:rPr>
        <w:t>以下词语不得用于定义、概括或正向介绍公司及产品：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数字化转型；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platform；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engine；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工作流工具；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流程自动化平台（当它被用作公司或核心产品定位时）。</w:t>
      </w:r>
    </w:p>
    <w:p>
      <w:pPr>
        <w:pStyle w:val="Heading3"/>
      </w:pPr>
      <w:r>
        <w:t>3.2 仅允许在历史对比中使用</w:t>
      </w:r>
    </w:p>
    <w:p>
      <w:r>
        <w:rPr>
          <w:rFonts w:ascii="Microsoft YaHei" w:hAnsi="Microsoft YaHei" w:eastAsia="Microsoft YaHei"/>
          <w:sz w:val="21"/>
        </w:rPr>
        <w:t>“数字化”“工作流”“workflow”只能在说明过往范式或进行明确对比时出现，并同时</w:t>
      </w:r>
    </w:p>
    <w:p>
      <w:r>
        <w:rPr>
          <w:rFonts w:ascii="Microsoft YaHei" w:hAnsi="Microsoft YaHei" w:eastAsia="Microsoft YaHei"/>
          <w:sz w:val="21"/>
        </w:rPr>
        <w:t>满足以下条件：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句子中有“过去、传统、不同于、不是、超越”等明确对比关系；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后文立即回到企业 AI、产业 AI、Agentic OS 或多智能体协同定位；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不得放在标题、摘要、标签、产品名称、SEO 关键词和首屏主文案中；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不得让读者误以为公司主营数字化建设或工作流产品；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能不用时优先不用。</w:t>
      </w:r>
    </w:p>
    <w:p>
      <w:r>
        <w:rPr>
          <w:rFonts w:ascii="Microsoft YaHei" w:hAnsi="Microsoft YaHei" w:eastAsia="Microsoft YaHei"/>
          <w:sz w:val="21"/>
        </w:rPr>
        <w:t>允许示例：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不同于以固定节点为核心的传统工作流，产业级多智能体协同操作系统让专业智能体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在企业规则与权限边界内理解任务、协同判断并完成业务交付。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企业过去主要依赖数字化系统记录和传递信息；进入企业 AI 阶段后，智能体开始参与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理解、判断、协同与执行。</w:t>
      </w:r>
    </w:p>
    <w:p>
      <w:r>
        <w:rPr>
          <w:rFonts w:ascii="Microsoft YaHei" w:hAnsi="Microsoft YaHei" w:eastAsia="Microsoft YaHei"/>
          <w:sz w:val="21"/>
        </w:rPr>
        <w:t>禁止示例：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艾氪智能为企业提供数字化转型服务。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JovaAI 是一款智能工作流平台。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我们通过 workflow 帮助企业提升效率。</w:t>
      </w:r>
    </w:p>
    <w:p>
      <w:pPr>
        <w:pStyle w:val="Heading3"/>
      </w:pPr>
      <w:r>
        <w:t>3.3 推荐替代表达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不应使用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推荐替换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数字化转型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转型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数字化升级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商业模式升级、业务 AI 化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数字化平台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OS、产业级多智能体协同操作系统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工作流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多智能体协同机制、制度驱动的执行链路、业务执行机制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工作流编排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多智能体协同组织、智能体任务协同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流程自动化平台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 AI 操作系统、智能体协同操作系统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数字员工平台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企业智能体团队、专业智能体团队（按具体语境）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“业务流程”“审批流程”等描述企业现实活动的普通名词可以使用，但不得据此把公司</w:t>
      </w:r>
    </w:p>
    <w:p>
      <w:r>
        <w:rPr>
          <w:rFonts w:ascii="Microsoft YaHei" w:hAnsi="Microsoft YaHei" w:eastAsia="Microsoft YaHei"/>
          <w:sz w:val="21"/>
        </w:rPr>
        <w:t>定位为流程工具或自动化平台。</w:t>
      </w:r>
    </w:p>
    <w:p>
      <w:pPr>
        <w:pStyle w:val="Heading2"/>
      </w:pPr>
      <w:r>
        <w:t>4. 智能体存在性与命名规则</w:t>
      </w:r>
    </w:p>
    <w:p>
      <w:pPr>
        <w:pStyle w:val="Heading3"/>
      </w:pPr>
      <w:r>
        <w:t>4.1 总原则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只能介绍本规范允许名单中的智能体；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名单之外的智能体不得写成艾氪智能已经拥有、已经上线或可以交付的产品；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不得为了丰富案例临时创造智能体姓名、岗位、英文名、头像或能力；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不得把规划中、概念中、竞品中的智能体写成公司现有能力；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名单内智能体也只能使用已有资料支持的能力，不得因名称自行扩展功能；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需要新增智能体时，必须先由企业方确认名称、岗位、能力边界和产品状态。</w:t>
      </w:r>
    </w:p>
    <w:p>
      <w:pPr>
        <w:pStyle w:val="Heading3"/>
      </w:pPr>
      <w:r>
        <w:t>4.2 企业方直接确认的智能体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智能体类型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当前可用口径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资料状态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加文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可介绍名称与关务定位；详细能力按后续正式资料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待补详细资料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询报价智能体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蜜蜂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询价、比价与报价协同；具体自动执行范围需有产品证据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已确认名称和定位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海瑞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采购业务协同；详细能力以正式资料为准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建站智能体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马良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可介绍名称与 AI 建站定位；详细能力按后续正式资料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待补详细资料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面向产业交易场景的财务智能体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制度智能体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面向企业的制度智能体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正式产品资料已提供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客服智能体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天鹅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AI 客服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SCRM 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元元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客户关系与 SCRM 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司南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商品运营与商品生命周期管理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</w:tbl>
    <w:p/>
    <w:p>
      <w:pPr>
        <w:pStyle w:val="Heading3"/>
      </w:pPr>
      <w:r>
        <w:t>4.3 官网资料确认的其他智能体</w:t>
      </w:r>
    </w:p>
    <w:p>
      <w:r>
        <w:rPr>
          <w:rFonts w:ascii="Microsoft YaHei" w:hAnsi="Microsoft YaHei" w:eastAsia="Microsoft YaHei"/>
          <w:sz w:val="21"/>
        </w:rPr>
        <w:t>当前线上官网名单以 agents/官网公开智能体名单_20260730.md 为准。该文件中的人物可按官网岗位</w:t>
      </w:r>
    </w:p>
    <w:p>
      <w:r>
        <w:rPr>
          <w:rFonts w:ascii="Microsoft YaHei" w:hAnsi="Microsoft YaHei" w:eastAsia="Microsoft YaHei"/>
          <w:sz w:val="21"/>
        </w:rPr>
        <w:t>写入对外草稿，但不得自行扩展能力；本节下表是此前官网人物资料快照，岗位与线上官网冲突时按</w:t>
      </w:r>
    </w:p>
    <w:p>
      <w:r>
        <w:rPr>
          <w:rFonts w:ascii="Microsoft YaHei" w:hAnsi="Microsoft YaHei" w:eastAsia="Microsoft YaHei"/>
          <w:sz w:val="21"/>
        </w:rPr>
        <w:t>当前线上官网处理。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团队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智能体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岗位/能力名称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梵高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设计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白泽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市场洞察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特劳特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市场定位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蒙特卡罗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市场策略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诸葛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经纬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云仓/仓储运营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天枢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订单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思涵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供应商评估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百川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供应商管理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景程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底价管理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雅琪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邮箱管理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海博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藤蔓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分销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星罗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圈层价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芯怡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研发需求管理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明轩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委外管理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思澄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物料需求计划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子宸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工单管理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泽峰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质检管理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官网材料给出的英文名只在引用该人物资料时使用。对于加文、马良、斗金等尚未在</w:t>
      </w:r>
    </w:p>
    <w:p>
      <w:r>
        <w:rPr>
          <w:rFonts w:ascii="Microsoft YaHei" w:hAnsi="Microsoft YaHei" w:eastAsia="Microsoft YaHei"/>
          <w:sz w:val="21"/>
        </w:rPr>
        <w:t>当前资料中确认英文名的智能体，不得自行翻译或创造英文名。</w:t>
      </w:r>
    </w:p>
    <w:p>
      <w:pPr>
        <w:pStyle w:val="Heading3"/>
      </w:pPr>
      <w:r>
        <w:t>4.4 当前命名冲突</w:t>
      </w:r>
    </w:p>
    <w:p>
      <w:r>
        <w:rPr>
          <w:rFonts w:ascii="Microsoft YaHei" w:hAnsi="Microsoft YaHei" w:eastAsia="Microsoft YaHei"/>
          <w:sz w:val="21"/>
        </w:rPr>
        <w:t>现有材料对“蜜蜂”和“诸葛”的职责存在交叉：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企业方直接要求：蜜蜂是询报价智能体；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官网人物材料：蜜蜂是询价，诸葛是报价；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产品资料：蜜蜂承担报价任务的主责汇总。</w:t>
      </w:r>
    </w:p>
    <w:p>
      <w:r>
        <w:rPr>
          <w:rFonts w:ascii="Microsoft YaHei" w:hAnsi="Microsoft YaHei" w:eastAsia="Microsoft YaHei"/>
          <w:sz w:val="21"/>
        </w:rPr>
        <w:t>冻结规则：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企业综合外宣优先使用“询报价智能体——蜜蜂”；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诸葛只在官网人物介绍或企业方明确要求的场景中称为“报价”；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在职责边界正式确认前，不在同一篇内容中比较蜜蜂与诸葛的报价职责；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不自行解释两者的上下级、协作或功能拆分关系。</w:t>
      </w:r>
    </w:p>
    <w:p>
      <w:pPr>
        <w:pStyle w:val="Heading2"/>
      </w:pPr>
      <w:r>
        <w:t>5. 产品能力表述规则</w:t>
      </w:r>
    </w:p>
    <w:p>
      <w:pPr>
        <w:pStyle w:val="Heading3"/>
      </w:pPr>
      <w:r>
        <w:t>5.0 已确认的核心事实例外</w:t>
      </w:r>
    </w:p>
    <w:p>
      <w:r>
        <w:rPr>
          <w:rFonts w:ascii="Microsoft YaHei" w:hAnsi="Microsoft YaHei" w:eastAsia="Microsoft YaHei"/>
          <w:sz w:val="21"/>
        </w:rPr>
        <w:t>以下内容已由企业方于 2026-07-30 直接确认，可按对应 V3.0 口径卡反复使用：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两条产品线与四大产品矩阵；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当前官网八大核心场景；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官网九大 AI 原生商业模式；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ICB 为全球首个跨产业实时交易算法；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 多个行业、30 万家注册企业、3000 多家龙头企业、600 亿产业交易、3000+ 功能元；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历时 6 年形成 ICB；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五级 JovaOS 架构；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“构建全球最大的产业级智能体网络”作为企业愿景。</w:t>
      </w:r>
    </w:p>
    <w:p>
      <w:r>
        <w:rPr>
          <w:rFonts w:ascii="Microsoft YaHei" w:hAnsi="Microsoft YaHei" w:eastAsia="Microsoft YaHei"/>
          <w:sz w:val="21"/>
        </w:rPr>
        <w:t>上述例外不允许扩大含义：“注册企业”不能改写为付费客户，“产业交易”不能改写为营收，</w:t>
      </w:r>
    </w:p>
    <w:p>
      <w:r>
        <w:rPr>
          <w:rFonts w:ascii="Microsoft YaHei" w:hAnsi="Microsoft YaHei" w:eastAsia="Microsoft YaHei"/>
          <w:sz w:val="21"/>
        </w:rPr>
        <w:t>“功能元”不能改写为智能体数量，“愿景”不能写成已经实现。</w:t>
      </w:r>
    </w:p>
    <w:p>
      <w:pPr>
        <w:pStyle w:val="Heading3"/>
      </w:pPr>
      <w:r>
        <w:t>5.1 通用能力证据门</w:t>
      </w:r>
    </w:p>
    <w:p>
      <w:r>
        <w:rPr>
          <w:rFonts w:ascii="Microsoft YaHei" w:hAnsi="Microsoft YaHei" w:eastAsia="Microsoft YaHei"/>
          <w:sz w:val="21"/>
        </w:rPr>
        <w:t>任何产品能力必须至少满足一个条件：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正式产品资料明确记录；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企业方在当前对话中明确确认；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已提供可公开演示、界面或客户案例证据；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企业方批准为规划能力，并明确标注“规划中/测试中”。</w:t>
      </w:r>
    </w:p>
    <w:p>
      <w:r>
        <w:rPr>
          <w:rFonts w:ascii="Microsoft YaHei" w:hAnsi="Microsoft YaHei" w:eastAsia="Microsoft YaHei"/>
          <w:sz w:val="21"/>
        </w:rPr>
        <w:t>没有证据时：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不写成“已经具备”；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不用确定性结果描述；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标记“待确认”，或在生成前向企业方提问；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不通过同类产品能力、名称含义或模型常识进行推断。</w:t>
      </w:r>
    </w:p>
    <w:p>
      <w:pPr>
        <w:pStyle w:val="Heading3"/>
      </w:pPr>
      <w:r>
        <w:t>5.2 能力状态必须区分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可用措辞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禁止措辞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已确认/已演示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已支持、可用于、能够帮助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全面解决、任何情况下都能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试点/测试中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正在测试、试点验证中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已规模化应用、已稳定运行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规划中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计划支持、规划能力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已上线、已经实现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暂不写入外宣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推测、可能已经、理论上具备</w:t>
            </w:r>
          </w:p>
        </w:tc>
      </w:tr>
    </w:tbl>
    <w:p/>
    <w:p>
      <w:pPr>
        <w:pStyle w:val="Heading3"/>
      </w:pPr>
      <w:r>
        <w:t>5.3 禁止无证据强承诺</w:t>
      </w:r>
    </w:p>
    <w:p>
      <w:r>
        <w:rPr>
          <w:rFonts w:ascii="Microsoft YaHei" w:hAnsi="Microsoft YaHei" w:eastAsia="Microsoft YaHei"/>
          <w:sz w:val="21"/>
        </w:rPr>
        <w:t>未经企业方提供证据，不得出现：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百分比降本、增效、准确率、转化率或 ROI；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“零错误、零风险、完全合规、绝不出错”；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“全面替代人工、完全无人化、无需人工确认”；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“适用于所有企业、所有行业、所有场景”；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未确认的客户名称、客户数量、交易规模和落地成果；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未确认的融资、估值、排名、奖项、认证、专利和合作伙伴；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未确认的系统兼容性、接口数量和模型能力；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把演示环境等同于生产环境；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把建议、页面跳转或人工确认写成完全自动执行。</w:t>
      </w:r>
    </w:p>
    <w:p>
      <w:pPr>
        <w:pStyle w:val="Heading2"/>
      </w:pPr>
      <w:r>
        <w:t>6. Nomos 制度智能体专项口径</w:t>
      </w:r>
    </w:p>
    <w:p>
      <w:pPr>
        <w:pStyle w:val="Heading3"/>
      </w:pPr>
      <w:r>
        <w:t>6.1 推荐定位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r>
        <w:rPr>
          <w:rFonts w:ascii="Microsoft YaHei" w:hAnsi="Microsoft YaHei" w:eastAsia="Microsoft YaHei"/>
          <w:sz w:val="21"/>
        </w:rPr>
        <w:t>推荐强调：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制度创建与结构化整理；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智能体角色匹配；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多智能体串行或并行协同；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协作过程与阶段结果查看；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关键动作的规则检查、人工确认和安全拦截；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制度模板的沉淀和复用。</w:t>
      </w:r>
    </w:p>
    <w:p>
      <w:pPr>
        <w:pStyle w:val="Heading3"/>
      </w:pPr>
      <w:r>
        <w:t>6.2 禁止或谨慎表述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 Nomos 定位为工作流产品；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不说它能自动理解企业全部隐性规则；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不说所有业务无需配置、无需权限或无需系统接入；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不说它能够替代企业全部既有系统和固定执行机制；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不把现场演示直接写成生产环境稳定能力；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不在没有版本说明时传播“约 40 个 Hook”等易变化数字；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不忽略数据来源、判断标准、审批边界、工具权限和人工责任。</w:t>
      </w:r>
    </w:p>
    <w:p>
      <w:pPr>
        <w:pStyle w:val="Heading2"/>
      </w:pPr>
      <w:r>
        <w:t>7. 斗金财务智能体专项口径</w:t>
      </w:r>
    </w:p>
    <w:p>
      <w:pPr>
        <w:pStyle w:val="Heading3"/>
      </w:pPr>
      <w:r>
        <w:t>7.1 推荐定位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r>
        <w:rPr>
          <w:rFonts w:ascii="Microsoft YaHei" w:hAnsi="Microsoft YaHei" w:eastAsia="Microsoft YaHei"/>
          <w:sz w:val="21"/>
        </w:rPr>
        <w:t>可在资料支持范围内介绍：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连接订单、账户、上下游客户、应收应付、充值提现、结算和赊销等交易数据；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帮助企业看清资金流向、识别逾期与违约风险；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提供收付款、催收、账龄和现金流管理建议；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通过看板、自然语言或语音理解财务问题；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在权限允许时打开相应业务页面，引导用户处理下一步任务。</w:t>
      </w:r>
    </w:p>
    <w:p>
      <w:pPr>
        <w:pStyle w:val="Heading3"/>
      </w:pPr>
      <w:r>
        <w:t>7.2 必须谨慎的能力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利润核算：不得宣称已经具备完整利润表、成本归集或毛利核算能力；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自动执行：优先写“给出建议、打开页面、在权限允许时协助处理”；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财务健康度：不得把内部评分包装成未经验证的科学评级或信用结论；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开票：未确认完整能力前只写提醒或引导，不写自动完成全链路开票；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工作记忆：记忆周期、隐私边界和跨会话机制未确认前不得作强承诺；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专业责任：不得声称斗金替代会计师、审计师、税务师或企业财务负责人；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财务建议：涉及重大资金、税务、审计或不可逆操作时必须保留人工判断。</w:t>
      </w:r>
    </w:p>
    <w:p>
      <w:pPr>
        <w:pStyle w:val="Heading2"/>
      </w:pPr>
      <w:r>
        <w:t>8. 竞品名称与比较规则</w:t>
      </w:r>
    </w:p>
    <w:p>
      <w:pPr>
        <w:pStyle w:val="Heading3"/>
      </w:pPr>
      <w:r>
        <w:t>8.1 国内竞品</w:t>
      </w:r>
    </w:p>
    <w:p>
      <w:r>
        <w:rPr>
          <w:rFonts w:ascii="Microsoft YaHei" w:hAnsi="Microsoft YaHei" w:eastAsia="Microsoft YaHei"/>
          <w:sz w:val="21"/>
        </w:rPr>
        <w:t>国内竞品公司和产品不得在对外内容中直接出现名称。</w:t>
      </w:r>
    </w:p>
    <w:p>
      <w:r>
        <w:rPr>
          <w:rFonts w:ascii="Microsoft YaHei" w:hAnsi="Microsoft YaHei" w:eastAsia="Microsoft YaHei"/>
          <w:sz w:val="21"/>
        </w:rPr>
        <w:t>只能使用系统或产品大类，例如：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ERP 厂商；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SaaS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CRM 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国内财务软件；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国内供应链管理系统；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国内通用智能体产品；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 AI 平台。</w:t>
      </w:r>
    </w:p>
    <w:p>
      <w:r>
        <w:rPr>
          <w:rFonts w:ascii="Microsoft YaHei" w:hAnsi="Microsoft YaHei" w:eastAsia="Microsoft YaHei"/>
          <w:sz w:val="21"/>
        </w:rPr>
        <w:t>同时禁止通过以下方式变相识别：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公司名称缩写、谐音、别名或创始人姓名；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独有口号、融资金额、客户组合等明显指纹；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产品截图、Logo 或足以反推出公司的描述；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“国内某某（首字母）公司”等暗示性表达。</w:t>
      </w:r>
    </w:p>
    <w:p>
      <w:r>
        <w:rPr>
          <w:rFonts w:ascii="Microsoft YaHei" w:hAnsi="Microsoft YaHei" w:eastAsia="Microsoft YaHei"/>
          <w:sz w:val="21"/>
        </w:rPr>
        <w:t>内部竞品资料可以保留真实名称，但必须标注 INTERNAL_ONLY，不得直接复制到对外稿。</w:t>
      </w:r>
    </w:p>
    <w:p>
      <w:pPr>
        <w:pStyle w:val="Heading3"/>
      </w:pPr>
      <w:r>
        <w:t>8.2 国外竞品</w:t>
      </w:r>
    </w:p>
    <w:p>
      <w:r>
        <w:rPr>
          <w:rFonts w:ascii="Microsoft YaHei" w:hAnsi="Microsoft YaHei" w:eastAsia="Microsoft YaHei"/>
          <w:sz w:val="21"/>
        </w:rPr>
        <w:t>国外公司和产品可以直接使用名称，例如资料中出现的 Salesforce Agentforce、</w:t>
      </w:r>
    </w:p>
    <w:p>
      <w:r>
        <w:rPr>
          <w:rFonts w:ascii="Microsoft YaHei" w:hAnsi="Microsoft YaHei" w:eastAsia="Microsoft YaHei"/>
          <w:sz w:val="21"/>
        </w:rPr>
        <w:t>Oracle、ServiceNow、UiPath、Workday、SAP、Microsoft、OpenAI、Maisa、</w:t>
      </w:r>
    </w:p>
    <w:p>
      <w:r>
        <w:rPr>
          <w:rFonts w:ascii="Microsoft YaHei" w:hAnsi="Microsoft YaHei" w:eastAsia="Microsoft YaHei"/>
          <w:sz w:val="21"/>
        </w:rPr>
        <w:t>Relevance AI、H Company、TinyFish、Gumloop、Sierra、Decagon 等。</w:t>
      </w:r>
    </w:p>
    <w:p>
      <w:r>
        <w:rPr>
          <w:rFonts w:ascii="Microsoft YaHei" w:hAnsi="Microsoft YaHei" w:eastAsia="Microsoft YaHei"/>
          <w:sz w:val="21"/>
        </w:rPr>
        <w:t>使用时仍需满足：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公司、产品、发布日期和能力描述有可核验来源；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融资、估值、客户、收入、用户量和排名必须注明时间与出处；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厂商自述必须标注为“该公司披露/该公司称”，不能作为独立事实；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交易、收购和股权状态可能变化时必须重新核验；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不使用侮辱、贬损、嘲讽或无法证明的负面判断；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不宣称艾氪智能全面领先、完全替代或碾压竞品，除非有批准的比较证据。</w:t>
      </w:r>
    </w:p>
    <w:p>
      <w:pPr>
        <w:pStyle w:val="Heading3"/>
      </w:pPr>
      <w:r>
        <w:t>8.3 国别不明确时</w:t>
      </w:r>
    </w:p>
    <w:p>
      <w:r>
        <w:rPr>
          <w:rFonts w:ascii="Microsoft YaHei" w:hAnsi="Microsoft YaHei" w:eastAsia="Microsoft YaHei"/>
          <w:sz w:val="21"/>
        </w:rPr>
        <w:t>无法确认竞品属于国内还是国外时，默认按敏感竞品处理：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对外稿不显示名称；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使用产品大类描述；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向企业方请求国别和公开规则确认。</w:t>
      </w:r>
    </w:p>
    <w:p>
      <w:r>
        <w:rPr>
          <w:rFonts w:ascii="Microsoft YaHei" w:hAnsi="Microsoft YaHei" w:eastAsia="Microsoft YaHei"/>
          <w:sz w:val="21"/>
        </w:rPr>
        <w:t>当前《JovaAI 产品竞品调研》属于研究线索，不自动等同于可公开引用的 Evidence。</w:t>
      </w:r>
    </w:p>
    <w:p>
      <w:pPr>
        <w:pStyle w:val="Heading2"/>
      </w:pPr>
      <w:r>
        <w:t>9. 事实、案例与来源规范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事实性表述必须能关联到企业资料、企业方确认或可核验公开来源；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一个来源只能支持其明确覆盖的结论，不得扩大解释；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产品演示只能证明演示中实际完成的部分；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因模型、网络或测试环境中断的演示，不得写成完整能力已稳定运行；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客户案例必须确认客户名称是否允许公开；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案例结果、金额、周期和效果数据必须有原始证据；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公开资料必须记录来源名称、日期和访问日期；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不能确认时使用“待确认”，不得补写看似合理的统计数据或案例。</w:t>
      </w:r>
    </w:p>
    <w:p>
      <w:pPr>
        <w:pStyle w:val="Heading2"/>
      </w:pPr>
      <w:r>
        <w:t>10. 保密、隐私与敏感信息</w:t>
      </w:r>
    </w:p>
    <w:p>
      <w:r>
        <w:rPr>
          <w:rFonts w:ascii="Microsoft YaHei" w:hAnsi="Microsoft YaHei" w:eastAsia="Microsoft YaHei"/>
          <w:sz w:val="21"/>
        </w:rPr>
        <w:t>对外内容不得包含：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客户未公开的名称、联系人、电话、邮箱和业务数据；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企业账号、密码、Token、Cookie、接口地址和内部系统路径；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未公开产品路线图、定价、合同、财务数据和技术架构；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内部提示词、系统指令、安全规则细节和绕过方法；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未获授权的员工、客户和合作伙伴个人信息；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标记为内部、机密、受限或 INTERNAL_ONLY 的材料。</w:t>
      </w:r>
    </w:p>
    <w:p>
      <w:r>
        <w:rPr>
          <w:rFonts w:ascii="Microsoft YaHei" w:hAnsi="Microsoft YaHei" w:eastAsia="Microsoft YaHei"/>
          <w:sz w:val="21"/>
        </w:rPr>
        <w:t>出现不确定的隐私或授权状态时，默认不公开，并请求企业方确认。</w:t>
      </w:r>
    </w:p>
    <w:p>
      <w:pPr>
        <w:pStyle w:val="Heading2"/>
      </w:pPr>
      <w:r>
        <w:t>11. 内容风格与法律风险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不使用绝对化、最高级和无法证实的广告用语；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不写“国家级、第一、唯一、最先进、行业领先”等未经证明的结论；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不保证投资回报、经营结果或监管结果；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 AI 输出当作法律、财务、审计、税务或监管机关的正式意见；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不贬低传统软件、人工岗位或竞品；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进行比较时比较产品范式和能力类别，不攻击公司或个人；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专家观点、客户证言和合作伙伴评价必须取得授权；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引用第三方文字、图片、Logo、报告和数据时必须确认使用权。</w:t>
      </w:r>
    </w:p>
    <w:p>
      <w:pPr>
        <w:pStyle w:val="Heading2"/>
      </w:pPr>
      <w:r>
        <w:t>12. AGT-RSN-004 生成前检查</w:t>
      </w:r>
    </w:p>
    <w:p>
      <w:r>
        <w:rPr>
          <w:rFonts w:ascii="Microsoft YaHei" w:hAnsi="Microsoft YaHei" w:eastAsia="Microsoft YaHei"/>
          <w:sz w:val="21"/>
        </w:rPr>
        <w:t>生成内容前必须确认：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企业定位是否使用企业 AI、产业 AI、Agentic OS 或多智能体协同口径；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是否误用数字化、工作流或 workflow；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出现的公司智能体是否都在允许名单内；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智能体名称、岗位和能力是否与资料一致；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是否把规划、测试或演示能力写成正式上线能力；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国内竞品名称是否已经匿名化为系统大类；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国外竞品事实是否有时间和来源；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是否出现未经证实的客户、数据、效果、融资、排名或认证；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是否包含个人信息、商业秘密或未获授权素材；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是否需要企业方补充知识或确认冲突。</w:t>
      </w:r>
    </w:p>
    <w:p>
      <w:pPr>
        <w:pStyle w:val="Heading2"/>
      </w:pPr>
      <w:r>
        <w:t>13. 交付前阻断规则</w:t>
      </w:r>
    </w:p>
    <w:p>
      <w:r>
        <w:rPr>
          <w:rFonts w:ascii="Microsoft YaHei" w:hAnsi="Microsoft YaHei" w:eastAsia="Microsoft YaHei"/>
          <w:sz w:val="21"/>
        </w:rPr>
        <w:t>出现以下任一情况，内容不得进入正式交付：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将公司定位为数字化、工作流或 workflow 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写入允许名单之外的“公司现有智能体”；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直接披露国内竞品公司或产品名称；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编造产品能力、客户案例、指标或第三方背书；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将测试、演示或规划能力写成稳定生产能力；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未经授权披露客户、员工、合同、财务或系统敏感信息；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产品资料之间存在实质冲突但内容未标记或未请求确认；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财务、法律、安全或不可逆操作内容缺少人工责任边界。</w:t>
      </w:r>
    </w:p>
    <w:p>
      <w:pPr>
        <w:pStyle w:val="Heading2"/>
      </w:pPr>
      <w:r>
        <w:t>14. 资料缺失时的处理</w:t>
      </w:r>
    </w:p>
    <w:p>
      <w:r>
        <w:rPr>
          <w:rFonts w:ascii="Microsoft YaHei" w:hAnsi="Microsoft YaHei" w:eastAsia="Microsoft YaHei"/>
          <w:sz w:val="21"/>
        </w:rPr>
        <w:t>AGT-RSN-004 独立运行，不依赖其他智能体补充信息。资料不足时按以下顺序处理：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先使用本地已确认知识；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不影响事实准确性的内容继续完成；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对关键事实生成简短的“待确认事项”；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直接在当前对话向企业方提问；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企业方未确认前，删除相关强结论或改成不含事实承诺的表达。</w:t>
      </w:r>
    </w:p>
    <w:p>
      <w:pPr>
        <w:pStyle w:val="Heading2"/>
      </w:pPr>
      <w:r>
        <w:t>15. 当前待企业方确认事项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蜜蜂与诸葛在“询价—报价—汇总”上的正式职责边界；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加文的关务能力清单、可公开案例和英文名；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马良的 AI 建站能力清单、可公开案例和英文名；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全部智能体的产品状态：正式上线、试点、演示或规划；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国内竞品国别分类表，尤其是具有跨境注册或海外品牌的产品；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允许公开的客户、行业案例、效果数据和合作伙伴；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艾氪智能、JovaAI、JovaOS 等品牌与产品名称的正式层级关系；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企业级品牌语气、禁用广告词和视觉版权规则。</w:t>
      </w:r>
    </w:p>
    <w:p>
      <w:pPr>
        <w:pStyle w:val="Heading2"/>
      </w:pPr>
      <w:r>
        <w:t>16. 本版依据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企业方于 2026-07-30 在当前对话中提供的直接要求；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瑞森家族 PRD-D 架构刷新稿.docx；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艾氪智能官网智能体团队人物介绍.md；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02Nomos制度智能体产品信息整理_V1.0.docx；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03斗金财务智能体产品信息整理 V1.0.docx；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JovaAI产品竞品调研 + 品牌增长 + 社媒运营竞品库.docx。</w:t>
      </w:r>
    </w:p>
    <w:p>
      <w:r>
        <w:rPr>
          <w:rFonts w:ascii="Microsoft YaHei" w:hAnsi="Microsoft YaHei" w:eastAsia="Microsoft YaHei"/>
          <w:sz w:val="21"/>
        </w:rPr>
        <w:t>本规范不替代正式法律意见。涉及广告法、数据合规、财税、行业监管或第三方知识</w:t>
      </w:r>
    </w:p>
    <w:p>
      <w:r>
        <w:rPr>
          <w:rFonts w:ascii="Microsoft YaHei" w:hAnsi="Microsoft YaHei" w:eastAsia="Microsoft YaHei"/>
          <w:sz w:val="21"/>
        </w:rPr>
        <w:t>产权的正式发布内容，仍应由企业相应责任人审核。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sz w:val="18"/>
      </w:rPr>
      <w:t xml:space="preserve">第 </w:t>
    </w:r>
    <w:fldSimple w:instr="PAGE"/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艾氪智能｜AGT-RSN-004 内容合规知识库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65F9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