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AI-Assistance Disclosure Log</w:t>
      </w:r>
    </w:p>
    <w:p>
      <w:pPr>
        <w:spacing w:after="200"/>
        <w:jc w:val="center"/>
      </w:pPr>
      <w:r>
        <w:rPr>
          <w:rFonts w:ascii="Times New Roman" w:hAnsi="Times New Roman"/>
          <w:b/>
          <w:sz w:val="24"/>
        </w:rPr>
        <w:t>Week 7: Scenario-to-User-Story Traceability and Coverage Checking (Member 1, Amabe Junior Humphrey)</w:t>
      </w:r>
    </w:p>
    <w:p>
      <w:pPr>
        <w:spacing w:after="60"/>
      </w:pPr>
      <w:r>
        <w:rPr>
          <w:b/>
        </w:rPr>
        <w:t>Date:</w:t>
      </w:r>
    </w:p>
    <w:p>
      <w:pPr>
        <w:spacing w:after="160"/>
      </w:pPr>
      <w:r>
        <w:t>16 October 2026</w:t>
      </w:r>
    </w:p>
    <w:p>
      <w:pPr>
        <w:spacing w:after="60"/>
      </w:pPr>
      <w:r>
        <w:rPr>
          <w:b/>
        </w:rPr>
        <w:t>Deliverable:</w:t>
      </w:r>
    </w:p>
    <w:p>
      <w:pPr>
        <w:spacing w:after="160"/>
      </w:pPr>
      <w:r>
        <w:t>The scenario-to-user-story mapping, active/deferred coverage rules, executable coverage checker in tests/test_scenario_coverage.py, and the supporting traceability evidence in tests/fixtures/prompt_eval_cases.json and docs/requirements/week2-test-case-traceability.md.</w:t>
      </w:r>
    </w:p>
    <w:p>
      <w:pPr>
        <w:spacing w:after="60"/>
      </w:pPr>
      <w:r>
        <w:rPr>
          <w:b/>
        </w:rPr>
        <w:t>What I asked the AI for:</w:t>
      </w:r>
    </w:p>
    <w:p>
      <w:pPr>
        <w:spacing w:after="160"/>
      </w:pPr>
      <w:r>
        <w:t>I asked the AI to help interpret the Week 7 task, inspect the evaluation cases and existing charter evidence, decide how scenarios should be mapped to stories, distinguish active stories from intentionally deferred workflow stories, and implement a testable checker that flags uncovered active stories.</w:t>
      </w:r>
    </w:p>
    <w:p>
      <w:pPr>
        <w:spacing w:after="60"/>
      </w:pPr>
      <w:r>
        <w:rPr>
          <w:b/>
        </w:rPr>
        <w:t>What the AI produced:</w:t>
      </w:r>
    </w:p>
    <w:p>
      <w:pPr>
        <w:spacing w:after="160"/>
      </w:pPr>
      <w:r>
        <w:t>The AI produced a structured mapping for the ten committed evaluation cases, the ACTIVE_STORIES and DEFERRED_STORIES scope sets, helper functions for calculating coverage, a human-readable coverage report, and three unit tests. It documented the dual mapping of edge_stub_implementation to US-1 and US-2, and preserved deliberate exceptions such as malformed-source robustness and US-12 diagram literacy.</w:t>
      </w:r>
    </w:p>
    <w:p>
      <w:pPr>
        <w:spacing w:after="60"/>
      </w:pPr>
      <w:r>
        <w:rPr>
          <w:b/>
        </w:rPr>
        <w:t>Verification I performed myself:</w:t>
      </w:r>
    </w:p>
    <w:p>
      <w:pPr>
        <w:spacing w:after="160"/>
      </w:pPr>
      <w:r>
        <w:t>I ran the focused unittest module in my configured Python environment with PYTHONPATH=src. All three tests passed: active-story coverage, deferred-story handling, and the dual edge-stub mapping. I also checked that the implementation points to the committed fixture and traceability document, rather than relying on an invented scenario list.</w:t>
      </w:r>
    </w:p>
    <w:p>
      <w:pPr>
        <w:spacing w:after="60"/>
      </w:pPr>
      <w:r>
        <w:rPr>
          <w:b/>
        </w:rPr>
        <w:t>What I changed or would still change myself:</w:t>
      </w:r>
    </w:p>
    <w:p>
      <w:pPr>
        <w:spacing w:after="160"/>
      </w:pPr>
      <w:r>
        <w:t>I decided that deferred stories must not be reported as uncovered active stories, and that the adversarial scripted failures must remain visible as red-team evidence. I also accepted the dual interpretation of the edge-stub case while recording it for team review. I would extend the mapping when the wider thirty-plus scenario set is committed and ask story owners to confirm any ambiguous mapping.</w:t>
      </w:r>
    </w:p>
    <w:p>
      <w:pPr>
        <w:spacing w:after="60"/>
      </w:pPr>
      <w:r>
        <w:rPr>
          <w:b/>
        </w:rPr>
        <w:t>Not AI-generated:</w:t>
      </w:r>
    </w:p>
    <w:p>
      <w:pPr>
        <w:spacing w:after="160"/>
      </w:pPr>
      <w:r>
        <w:t>The decision to ask for dependency and scope clarification before implementation, the final distinction between active and deferred stories, the decision not to convert expected red-team failures into passes, and my own verification of the focused test run were my decisions.</w:t>
      </w:r>
    </w:p>
    <w:p>
      <w:pPr>
        <w:spacing w:after="60"/>
      </w:pPr>
      <w:r>
        <w:rPr>
          <w:b/>
        </w:rPr>
        <w:t>Data sent to the AI:</w:t>
      </w:r>
    </w:p>
    <w:p>
      <w:pPr>
        <w:spacing w:after="160"/>
      </w:pPr>
      <w:r>
        <w:t>Only project-owned repository material was used: the evaluation fixture, the scenario coverage test, the charter and traceability notes, and related project documentation. No API keys, credentials, personal secrets, or confidential external data were shared.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