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inline distT="0" distB="0" distL="0" distR="0">
            <wp:extent cx="5943600" cy="10883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43600" cy="1088390"/>
                    </a:xfrm>
                    <a:prstGeom prst="rect">
                      <a:avLst/>
                    </a:prstGeom>
                  </pic:spPr>
                </pic:pic>
              </a:graphicData>
            </a:graphic>
          </wp:inline>
        </w:drawing>
      </w:r>
    </w:p>
    <w:p>
      <w:pPr>
        <w:pStyle w:val="Normal"/>
        <w:spacing w:lineRule="auto" w:line="276"/>
        <w:jc w:val="center"/>
        <w:rPr/>
      </w:pPr>
      <w:r>
        <w:rPr/>
      </w:r>
    </w:p>
    <w:p>
      <w:pPr>
        <w:pStyle w:val="Normal"/>
        <w:spacing w:lineRule="auto" w:line="276"/>
        <w:jc w:val="center"/>
        <w:rPr/>
      </w:pPr>
      <w:r>
        <w:rPr/>
        <w:t>COLLEGE OF COMPUTING AND INFORMATION SCIENCES</w:t>
      </w:r>
    </w:p>
    <w:p>
      <w:pPr>
        <w:pStyle w:val="Normal"/>
        <w:spacing w:lineRule="auto" w:line="276"/>
        <w:jc w:val="center"/>
        <w:rPr/>
      </w:pPr>
      <w:r>
        <w:rPr/>
        <w:t>SCHOOL OF COMPUTING AND INFORMATICS TECHNOLOGY</w:t>
      </w:r>
    </w:p>
    <w:p>
      <w:pPr>
        <w:pStyle w:val="Normal"/>
        <w:jc w:val="center"/>
        <w:rPr/>
      </w:pPr>
      <w:r>
        <w:rPr/>
        <w:t xml:space="preserve">DEPARTMENT OF NETWORKS </w:t>
      </w:r>
    </w:p>
    <w:p>
      <w:pPr>
        <w:pStyle w:val="Normal"/>
        <w:jc w:val="center"/>
        <w:rPr/>
      </w:pPr>
      <w:r>
        <w:rPr/>
      </w:r>
    </w:p>
    <w:p>
      <w:pPr>
        <w:pStyle w:val="Normal"/>
        <w:spacing w:before="0" w:after="80"/>
        <w:jc w:val="center"/>
        <w:rPr>
          <w:b/>
          <w:bCs/>
          <w:sz w:val="28"/>
          <w:szCs w:val="28"/>
        </w:rPr>
      </w:pPr>
      <w:r>
        <w:rPr>
          <w:b/>
          <w:bCs/>
          <w:sz w:val="28"/>
          <w:szCs w:val="28"/>
        </w:rPr>
        <w:t xml:space="preserve">BSE4104  EMERGING TRENDS IN SOFTWARE ENGINEERING  </w:t>
      </w:r>
    </w:p>
    <w:p>
      <w:pPr>
        <w:pStyle w:val="Normal"/>
        <w:spacing w:before="0" w:after="80"/>
        <w:jc w:val="center"/>
        <w:rPr>
          <w:b/>
          <w:bCs/>
          <w:sz w:val="28"/>
          <w:szCs w:val="28"/>
        </w:rPr>
      </w:pPr>
      <w:r>
        <w:rPr>
          <w:b/>
          <w:bCs/>
          <w:sz w:val="28"/>
          <w:szCs w:val="28"/>
        </w:rPr>
        <w:t>AI-NATIVE &amp; AGENTIC ENGINEERING CAPSTONE</w:t>
      </w:r>
    </w:p>
    <w:p>
      <w:pPr>
        <w:pStyle w:val="Normal"/>
        <w:spacing w:before="0" w:after="80"/>
        <w:jc w:val="center"/>
        <w:rPr>
          <w:b/>
          <w:bCs/>
          <w:sz w:val="28"/>
          <w:szCs w:val="28"/>
        </w:rPr>
      </w:pPr>
      <w:r>
        <w:rPr>
          <w:b/>
          <w:bCs/>
          <w:sz w:val="28"/>
          <w:szCs w:val="28"/>
        </w:rPr>
      </w:r>
    </w:p>
    <w:p>
      <w:pPr>
        <w:pStyle w:val="Normal"/>
        <w:jc w:val="center"/>
        <w:rPr>
          <w:b/>
          <w:bCs/>
          <w:sz w:val="28"/>
          <w:szCs w:val="28"/>
        </w:rPr>
      </w:pPr>
      <w:bookmarkStart w:id="0" w:name="_Toc239365239"/>
      <w:r>
        <w:rPr>
          <w:b/>
          <w:bCs/>
          <w:sz w:val="28"/>
          <w:szCs w:val="28"/>
        </w:rPr>
        <w:t>System Architecture and Integration Specification of the Software-Engineering QA Agent</w:t>
      </w:r>
      <w:bookmarkEnd w:id="0"/>
    </w:p>
    <w:p>
      <w:pPr>
        <w:pStyle w:val="Normal"/>
        <w:spacing w:before="0" w:after="240"/>
        <w:jc w:val="center"/>
        <w:rPr>
          <w:b/>
          <w:bCs/>
        </w:rPr>
      </w:pPr>
      <w:r>
        <w:rPr>
          <w:b/>
          <w:bCs/>
        </w:rPr>
        <w:t>Group J</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96"/>
        <w:gridCol w:w="2837"/>
        <w:gridCol w:w="3401"/>
      </w:tblGrid>
      <w:tr>
        <w:trPr/>
        <w:tc>
          <w:tcPr>
            <w:tcW w:w="3396" w:type="dxa"/>
            <w:tcBorders/>
          </w:tcPr>
          <w:p>
            <w:pPr>
              <w:pStyle w:val="Normal"/>
              <w:widowControl/>
              <w:spacing w:before="0" w:after="160"/>
              <w:rPr>
                <w:sz w:val="32"/>
                <w:szCs w:val="32"/>
              </w:rPr>
            </w:pPr>
            <w:r>
              <w:rPr>
                <w:rFonts w:eastAsia="Calibri"/>
                <w:kern w:val="0"/>
                <w:sz w:val="32"/>
                <w:szCs w:val="32"/>
                <w:lang w:val="en-US" w:eastAsia="en-US" w:bidi="ar-SA"/>
              </w:rPr>
              <w:t>NAME</w:t>
            </w:r>
          </w:p>
        </w:tc>
        <w:tc>
          <w:tcPr>
            <w:tcW w:w="2837" w:type="dxa"/>
            <w:tcBorders/>
          </w:tcPr>
          <w:p>
            <w:pPr>
              <w:pStyle w:val="Normal"/>
              <w:widowControl/>
              <w:spacing w:before="0" w:after="160"/>
              <w:rPr>
                <w:sz w:val="32"/>
                <w:szCs w:val="32"/>
              </w:rPr>
            </w:pPr>
            <w:r>
              <w:rPr>
                <w:rFonts w:eastAsia="Calibri"/>
                <w:kern w:val="0"/>
                <w:sz w:val="32"/>
                <w:szCs w:val="32"/>
                <w:lang w:val="en-US" w:eastAsia="en-US" w:bidi="ar-SA"/>
              </w:rPr>
              <w:t>STUDENT NUMBER</w:t>
            </w:r>
          </w:p>
        </w:tc>
        <w:tc>
          <w:tcPr>
            <w:tcW w:w="3401" w:type="dxa"/>
            <w:tcBorders/>
          </w:tcPr>
          <w:p>
            <w:pPr>
              <w:pStyle w:val="Normal"/>
              <w:widowControl/>
              <w:spacing w:before="0" w:after="160"/>
              <w:rPr>
                <w:sz w:val="32"/>
                <w:szCs w:val="32"/>
              </w:rPr>
            </w:pPr>
            <w:r>
              <w:rPr>
                <w:rFonts w:eastAsia="Calibri"/>
                <w:kern w:val="0"/>
                <w:sz w:val="32"/>
                <w:szCs w:val="32"/>
                <w:lang w:val="en-US" w:eastAsia="en-US" w:bidi="ar-SA"/>
              </w:rPr>
              <w:t>REGISTRATION NUMBER</w:t>
            </w:r>
          </w:p>
        </w:tc>
      </w:tr>
      <w:tr>
        <w:trPr>
          <w:trHeight w:val="884" w:hRule="atLeast"/>
        </w:trPr>
        <w:tc>
          <w:tcPr>
            <w:tcW w:w="3396" w:type="dxa"/>
            <w:tcBorders/>
            <w:vAlign w:val="center"/>
          </w:tcPr>
          <w:p>
            <w:pPr>
              <w:pStyle w:val="Normal"/>
              <w:widowControl/>
              <w:spacing w:before="0" w:after="160"/>
              <w:rPr>
                <w:sz w:val="32"/>
                <w:szCs w:val="32"/>
              </w:rPr>
            </w:pPr>
            <w:r>
              <w:rPr>
                <w:rFonts w:eastAsia="Calibri"/>
                <w:kern w:val="0"/>
                <w:sz w:val="32"/>
                <w:szCs w:val="32"/>
                <w:lang w:val="en-US" w:eastAsia="en-US" w:bidi="ar-SA"/>
              </w:rPr>
              <w:t>Karagwa Ann Treasure</w:t>
            </w:r>
          </w:p>
        </w:tc>
        <w:tc>
          <w:tcPr>
            <w:tcW w:w="2837" w:type="dxa"/>
            <w:tcBorders/>
            <w:vAlign w:val="center"/>
          </w:tcPr>
          <w:p>
            <w:pPr>
              <w:pStyle w:val="Normal"/>
              <w:widowControl/>
              <w:spacing w:before="0" w:after="160"/>
              <w:rPr>
                <w:sz w:val="32"/>
                <w:szCs w:val="32"/>
              </w:rPr>
            </w:pPr>
            <w:r>
              <w:rPr>
                <w:rFonts w:eastAsia="Calibri"/>
                <w:kern w:val="0"/>
                <w:sz w:val="32"/>
                <w:szCs w:val="32"/>
                <w:lang w:val="en-US" w:eastAsia="en-US" w:bidi="ar-SA"/>
              </w:rPr>
              <w:t>2300709034</w:t>
            </w:r>
          </w:p>
        </w:tc>
        <w:tc>
          <w:tcPr>
            <w:tcW w:w="3401" w:type="dxa"/>
            <w:tcBorders/>
            <w:vAlign w:val="center"/>
          </w:tcPr>
          <w:p>
            <w:pPr>
              <w:pStyle w:val="Normal"/>
              <w:widowControl/>
              <w:spacing w:before="0" w:after="160"/>
              <w:rPr>
                <w:sz w:val="32"/>
                <w:szCs w:val="32"/>
              </w:rPr>
            </w:pPr>
            <w:r>
              <w:rPr>
                <w:rFonts w:eastAsia="Calibri"/>
                <w:kern w:val="0"/>
                <w:sz w:val="32"/>
                <w:szCs w:val="32"/>
                <w:lang w:val="en-US" w:eastAsia="en-US" w:bidi="ar-SA"/>
              </w:rPr>
              <w:t>23/U/09034/PS</w:t>
            </w:r>
          </w:p>
        </w:tc>
      </w:tr>
      <w:tr>
        <w:trPr>
          <w:trHeight w:val="932" w:hRule="atLeast"/>
        </w:trPr>
        <w:tc>
          <w:tcPr>
            <w:tcW w:w="3396" w:type="dxa"/>
            <w:tcBorders/>
            <w:vAlign w:val="center"/>
          </w:tcPr>
          <w:p>
            <w:pPr>
              <w:pStyle w:val="Normal"/>
              <w:widowControl/>
              <w:spacing w:before="0" w:after="160"/>
              <w:rPr>
                <w:sz w:val="32"/>
                <w:szCs w:val="32"/>
              </w:rPr>
            </w:pPr>
            <w:r>
              <w:rPr>
                <w:rFonts w:eastAsia="Calibri"/>
                <w:kern w:val="0"/>
                <w:sz w:val="32"/>
                <w:szCs w:val="32"/>
                <w:lang w:val="en-US" w:eastAsia="en-US" w:bidi="ar-SA"/>
              </w:rPr>
              <w:t>Ayan Mustafa Abdirahman</w:t>
            </w:r>
          </w:p>
        </w:tc>
        <w:tc>
          <w:tcPr>
            <w:tcW w:w="2837" w:type="dxa"/>
            <w:tcBorders/>
            <w:vAlign w:val="center"/>
          </w:tcPr>
          <w:p>
            <w:pPr>
              <w:pStyle w:val="Normal"/>
              <w:widowControl/>
              <w:spacing w:before="0" w:after="160"/>
              <w:rPr>
                <w:sz w:val="32"/>
                <w:szCs w:val="32"/>
              </w:rPr>
            </w:pPr>
            <w:r>
              <w:rPr>
                <w:rFonts w:eastAsia="Calibri"/>
                <w:kern w:val="0"/>
                <w:sz w:val="32"/>
                <w:szCs w:val="32"/>
                <w:lang w:val="en-US" w:eastAsia="en-US" w:bidi="ar-SA"/>
              </w:rPr>
              <w:t>2300722948</w:t>
            </w:r>
          </w:p>
        </w:tc>
        <w:tc>
          <w:tcPr>
            <w:tcW w:w="3401" w:type="dxa"/>
            <w:tcBorders/>
            <w:vAlign w:val="center"/>
          </w:tcPr>
          <w:p>
            <w:pPr>
              <w:pStyle w:val="Normal"/>
              <w:widowControl/>
              <w:spacing w:before="0" w:after="160"/>
              <w:rPr>
                <w:sz w:val="32"/>
                <w:szCs w:val="32"/>
              </w:rPr>
            </w:pPr>
            <w:r>
              <w:rPr>
                <w:rFonts w:eastAsia="Calibri"/>
                <w:kern w:val="0"/>
                <w:sz w:val="32"/>
                <w:szCs w:val="32"/>
                <w:lang w:val="en-US" w:eastAsia="en-US" w:bidi="ar-SA"/>
              </w:rPr>
              <w:t>23/X/22948/EVE</w:t>
            </w:r>
          </w:p>
        </w:tc>
      </w:tr>
      <w:tr>
        <w:trPr>
          <w:trHeight w:val="1042" w:hRule="atLeast"/>
        </w:trPr>
        <w:tc>
          <w:tcPr>
            <w:tcW w:w="3396" w:type="dxa"/>
            <w:tcBorders/>
            <w:vAlign w:val="center"/>
          </w:tcPr>
          <w:p>
            <w:pPr>
              <w:pStyle w:val="Normal"/>
              <w:widowControl/>
              <w:spacing w:before="0" w:after="160"/>
              <w:rPr>
                <w:sz w:val="32"/>
                <w:szCs w:val="32"/>
              </w:rPr>
            </w:pPr>
            <w:r>
              <w:rPr>
                <w:rFonts w:eastAsia="Calibri"/>
                <w:kern w:val="0"/>
                <w:sz w:val="32"/>
                <w:szCs w:val="32"/>
                <w:lang w:val="en-US" w:eastAsia="en-US" w:bidi="ar-SA"/>
              </w:rPr>
              <w:t>Wanyana Selina Masembe</w:t>
            </w:r>
          </w:p>
        </w:tc>
        <w:tc>
          <w:tcPr>
            <w:tcW w:w="2837" w:type="dxa"/>
            <w:tcBorders/>
            <w:vAlign w:val="center"/>
          </w:tcPr>
          <w:p>
            <w:pPr>
              <w:pStyle w:val="Normal"/>
              <w:widowControl/>
              <w:spacing w:before="0" w:after="160"/>
              <w:rPr>
                <w:sz w:val="32"/>
                <w:szCs w:val="32"/>
              </w:rPr>
            </w:pPr>
            <w:r>
              <w:rPr>
                <w:rFonts w:eastAsia="Calibri"/>
                <w:kern w:val="0"/>
                <w:sz w:val="32"/>
                <w:szCs w:val="32"/>
                <w:lang w:val="en-US" w:eastAsia="en-US" w:bidi="ar-SA"/>
              </w:rPr>
              <w:t>2300701529</w:t>
            </w:r>
          </w:p>
        </w:tc>
        <w:tc>
          <w:tcPr>
            <w:tcW w:w="3401" w:type="dxa"/>
            <w:tcBorders/>
            <w:vAlign w:val="center"/>
          </w:tcPr>
          <w:p>
            <w:pPr>
              <w:pStyle w:val="Normal"/>
              <w:widowControl/>
              <w:spacing w:before="0" w:after="160"/>
              <w:rPr>
                <w:sz w:val="32"/>
                <w:szCs w:val="32"/>
              </w:rPr>
            </w:pPr>
            <w:r>
              <w:rPr>
                <w:rFonts w:eastAsia="Calibri"/>
                <w:kern w:val="0"/>
                <w:sz w:val="32"/>
                <w:szCs w:val="32"/>
                <w:lang w:val="en-US" w:eastAsia="en-US" w:bidi="ar-SA"/>
              </w:rPr>
              <w:t>23/U/1529</w:t>
            </w:r>
          </w:p>
        </w:tc>
      </w:tr>
      <w:tr>
        <w:trPr>
          <w:trHeight w:val="1010" w:hRule="atLeast"/>
        </w:trPr>
        <w:tc>
          <w:tcPr>
            <w:tcW w:w="3396" w:type="dxa"/>
            <w:tcBorders/>
            <w:vAlign w:val="center"/>
          </w:tcPr>
          <w:p>
            <w:pPr>
              <w:pStyle w:val="Normal"/>
              <w:widowControl/>
              <w:spacing w:before="0" w:after="160"/>
              <w:rPr>
                <w:sz w:val="32"/>
                <w:szCs w:val="32"/>
              </w:rPr>
            </w:pPr>
            <w:r>
              <w:rPr>
                <w:rFonts w:eastAsia="Calibri"/>
                <w:kern w:val="0"/>
                <w:sz w:val="32"/>
                <w:szCs w:val="32"/>
                <w:lang w:val="en-US" w:eastAsia="en-US" w:bidi="ar-SA"/>
              </w:rPr>
              <w:t>Amabe Junior Humphrey</w:t>
            </w:r>
          </w:p>
        </w:tc>
        <w:tc>
          <w:tcPr>
            <w:tcW w:w="2837" w:type="dxa"/>
            <w:tcBorders/>
            <w:vAlign w:val="center"/>
          </w:tcPr>
          <w:p>
            <w:pPr>
              <w:pStyle w:val="Normal"/>
              <w:widowControl/>
              <w:spacing w:before="0" w:after="160"/>
              <w:rPr>
                <w:sz w:val="32"/>
                <w:szCs w:val="32"/>
              </w:rPr>
            </w:pPr>
            <w:r>
              <w:rPr>
                <w:rFonts w:eastAsia="Calibri"/>
                <w:kern w:val="0"/>
                <w:sz w:val="32"/>
                <w:szCs w:val="32"/>
                <w:lang w:val="en-US" w:eastAsia="en-US" w:bidi="ar-SA"/>
              </w:rPr>
              <w:t>2300705942</w:t>
            </w:r>
          </w:p>
        </w:tc>
        <w:tc>
          <w:tcPr>
            <w:tcW w:w="3401" w:type="dxa"/>
            <w:tcBorders/>
            <w:vAlign w:val="center"/>
          </w:tcPr>
          <w:p>
            <w:pPr>
              <w:pStyle w:val="Normal"/>
              <w:widowControl/>
              <w:spacing w:before="0" w:after="160"/>
              <w:rPr>
                <w:sz w:val="32"/>
                <w:szCs w:val="32"/>
              </w:rPr>
            </w:pPr>
            <w:r>
              <w:rPr>
                <w:rFonts w:eastAsia="Calibri"/>
                <w:kern w:val="0"/>
                <w:sz w:val="32"/>
                <w:szCs w:val="32"/>
                <w:lang w:val="en-US" w:eastAsia="en-US" w:bidi="ar-SA"/>
              </w:rPr>
              <w:t>23/U/05942/PS</w:t>
            </w:r>
          </w:p>
        </w:tc>
      </w:tr>
      <w:tr>
        <w:trPr>
          <w:trHeight w:val="1119" w:hRule="atLeast"/>
        </w:trPr>
        <w:tc>
          <w:tcPr>
            <w:tcW w:w="3396" w:type="dxa"/>
            <w:tcBorders/>
            <w:vAlign w:val="center"/>
          </w:tcPr>
          <w:p>
            <w:pPr>
              <w:pStyle w:val="Normal"/>
              <w:widowControl/>
              <w:spacing w:before="0" w:after="160"/>
              <w:rPr>
                <w:sz w:val="32"/>
                <w:szCs w:val="32"/>
              </w:rPr>
            </w:pPr>
            <w:r>
              <w:rPr>
                <w:rFonts w:eastAsia="Calibri"/>
                <w:kern w:val="0"/>
                <w:sz w:val="32"/>
                <w:szCs w:val="32"/>
                <w:lang w:val="en-US" w:eastAsia="en-US" w:bidi="ar-SA"/>
              </w:rPr>
              <w:t xml:space="preserve">Akanga Andrew </w:t>
            </w:r>
          </w:p>
        </w:tc>
        <w:tc>
          <w:tcPr>
            <w:tcW w:w="2837" w:type="dxa"/>
            <w:tcBorders/>
            <w:vAlign w:val="center"/>
          </w:tcPr>
          <w:p>
            <w:pPr>
              <w:pStyle w:val="Normal"/>
              <w:widowControl/>
              <w:spacing w:before="0" w:after="160"/>
              <w:rPr>
                <w:sz w:val="32"/>
                <w:szCs w:val="32"/>
              </w:rPr>
            </w:pPr>
            <w:r>
              <w:rPr>
                <w:rFonts w:eastAsia="Calibri"/>
                <w:kern w:val="0"/>
                <w:sz w:val="32"/>
                <w:szCs w:val="32"/>
                <w:lang w:val="en-US" w:eastAsia="en-US" w:bidi="ar-SA"/>
              </w:rPr>
              <w:t>2300705555</w:t>
            </w:r>
          </w:p>
        </w:tc>
        <w:tc>
          <w:tcPr>
            <w:tcW w:w="3401" w:type="dxa"/>
            <w:tcBorders/>
            <w:vAlign w:val="center"/>
          </w:tcPr>
          <w:p>
            <w:pPr>
              <w:pStyle w:val="Normal"/>
              <w:widowControl/>
              <w:spacing w:before="0" w:after="160"/>
              <w:rPr>
                <w:sz w:val="32"/>
                <w:szCs w:val="32"/>
              </w:rPr>
            </w:pPr>
            <w:r>
              <w:rPr>
                <w:rFonts w:eastAsia="Calibri"/>
                <w:kern w:val="0"/>
                <w:sz w:val="32"/>
                <w:szCs w:val="32"/>
                <w:lang w:val="en-US" w:eastAsia="en-US" w:bidi="ar-SA"/>
              </w:rPr>
              <w:t>23/U/05555/PS</w:t>
            </w:r>
          </w:p>
        </w:tc>
      </w:tr>
    </w:tbl>
    <w:p>
      <w:pPr>
        <w:pStyle w:val="Normal"/>
        <w:spacing w:before="0" w:after="80"/>
        <w:rPr>
          <w:b/>
          <w:bCs/>
          <w:sz w:val="28"/>
          <w:szCs w:val="28"/>
        </w:rPr>
      </w:pPr>
      <w:r>
        <w:rPr>
          <w:b/>
          <w:bCs/>
          <w:sz w:val="28"/>
          <w:szCs w:val="28"/>
        </w:rPr>
      </w:r>
    </w:p>
    <w:p>
      <w:pPr>
        <w:pStyle w:val="Normal"/>
        <w:rPr/>
      </w:pPr>
      <w:r>
        <w:rPr/>
      </w:r>
    </w:p>
    <w:p>
      <w:pPr>
        <w:pStyle w:val="Normal"/>
        <w:rPr/>
      </w:pPr>
      <w:r>
        <w:rPr/>
      </w:r>
      <w:r>
        <w:br w:type="page"/>
      </w:r>
    </w:p>
    <w:p>
      <w:pPr>
        <w:pStyle w:val="Normal"/>
        <w:spacing w:before="0" w:after="160"/>
        <w:rPr/>
      </w:pPr>
      <w:r>
        <w:rPr/>
      </w:r>
    </w:p>
    <w:p>
      <w:pPr>
        <w:pStyle w:val="Normal"/>
        <w:spacing w:lineRule="auto" w:line="276"/>
        <w:jc w:val="center"/>
        <w:rPr>
          <w:b/>
        </w:rPr>
      </w:pPr>
      <w:r>
        <w:rPr>
          <w:b/>
        </w:rPr>
        <w:t>Table of Contents</w:t>
      </w:r>
    </w:p>
    <w:sdt>
      <w:sdtPr>
        <w:docPartObj>
          <w:docPartGallery w:val="Table of Contents"/>
          <w:docPartUnique w:val="true"/>
        </w:docPartObj>
      </w:sdtPr>
      <w:sdtContent>
        <w:p>
          <w:pPr>
            <w:pStyle w:val="TOC1"/>
            <w:tabs>
              <w:tab w:val="clear" w:pos="720"/>
              <w:tab w:val="right" w:pos="9736" w:leader="dot"/>
            </w:tabs>
            <w:rPr>
              <w:rFonts w:ascii="Aptos" w:hAnsi="Aptos" w:eastAsia="" w:cs="" w:asciiTheme="minorHAnsi" w:cstheme="minorBidi" w:eastAsiaTheme="minorEastAsia" w:hAnsiTheme="minorHAnsi"/>
              <w:b w:val="false"/>
              <w:color w:val="auto"/>
              <w:kern w:val="2"/>
              <w:szCs w:val="24"/>
              <w14:ligatures w14:val="standardContextual"/>
            </w:rPr>
          </w:pPr>
          <w:r>
            <w:fldChar w:fldCharType="begin"/>
          </w:r>
          <w:r>
            <w:rPr>
              <w:webHidden/>
              <w:rStyle w:val="IndexLink"/>
            </w:rPr>
            <w:instrText xml:space="preserve"> TOC \z \o "1-3" \u \h</w:instrText>
          </w:r>
          <w:r>
            <w:rPr>
              <w:webHidden/>
              <w:rStyle w:val="IndexLink"/>
            </w:rPr>
            <w:fldChar w:fldCharType="separate"/>
          </w:r>
          <w:hyperlink w:anchor="_Toc239366265">
            <w:r>
              <w:rPr>
                <w:webHidden/>
                <w:rStyle w:val="IndexLink"/>
              </w:rPr>
              <w:t>1.</w:t>
            </w:r>
            <w:r>
              <w:rPr>
                <w:rStyle w:val="IndexLink"/>
                <w:bCs/>
              </w:rPr>
              <w:t xml:space="preserve"> Purpose and scope</w:t>
            </w:r>
            <w:r>
              <w:rPr>
                <w:webHidden/>
              </w:rPr>
              <w:fldChar w:fldCharType="begin"/>
            </w:r>
            <w:r>
              <w:rPr>
                <w:webHidden/>
              </w:rPr>
              <w:instrText xml:space="preserve">PAGEREF _Toc239366265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736" w:leader="dot"/>
            </w:tabs>
            <w:rPr>
              <w:rFonts w:ascii="Aptos" w:hAnsi="Aptos" w:eastAsia="" w:cs="" w:asciiTheme="minorHAnsi" w:cstheme="minorBidi" w:eastAsiaTheme="minorEastAsia" w:hAnsiTheme="minorHAnsi"/>
              <w:color w:val="auto"/>
              <w:kern w:val="2"/>
              <w:szCs w:val="24"/>
              <w14:ligatures w14:val="standardContextual"/>
            </w:rPr>
          </w:pPr>
          <w:hyperlink w:anchor="_Toc239366266">
            <w:r>
              <w:rPr>
                <w:webHidden/>
                <w:rStyle w:val="IndexLink"/>
              </w:rPr>
              <w:t>1.1.</w:t>
            </w:r>
            <w:r>
              <w:rPr>
                <w:rStyle w:val="IndexLink"/>
                <w:bCs/>
              </w:rPr>
              <w:t xml:space="preserve"> What the system does</w:t>
            </w:r>
            <w:r>
              <w:rPr>
                <w:webHidden/>
              </w:rPr>
              <w:fldChar w:fldCharType="begin"/>
            </w:r>
            <w:r>
              <w:rPr>
                <w:webHidden/>
              </w:rPr>
              <w:instrText xml:space="preserve">PAGEREF _Toc239366266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736" w:leader="dot"/>
            </w:tabs>
            <w:rPr>
              <w:rFonts w:ascii="Aptos" w:hAnsi="Aptos" w:eastAsia="" w:cs="" w:asciiTheme="minorHAnsi" w:cstheme="minorBidi" w:eastAsiaTheme="minorEastAsia" w:hAnsiTheme="minorHAnsi"/>
              <w:b w:val="false"/>
              <w:color w:val="auto"/>
              <w:kern w:val="2"/>
              <w:szCs w:val="24"/>
              <w14:ligatures w14:val="standardContextual"/>
            </w:rPr>
          </w:pPr>
          <w:hyperlink w:anchor="_Toc239366267">
            <w:r>
              <w:rPr>
                <w:webHidden/>
                <w:rStyle w:val="IndexLink"/>
              </w:rPr>
              <w:t>2.</w:t>
            </w:r>
            <w:r>
              <w:rPr>
                <w:rStyle w:val="IndexLink"/>
                <w:bCs/>
              </w:rPr>
              <w:t xml:space="preserve"> Architectural principles</w:t>
            </w:r>
            <w:r>
              <w:rPr>
                <w:webHidden/>
              </w:rPr>
              <w:fldChar w:fldCharType="begin"/>
            </w:r>
            <w:r>
              <w:rPr>
                <w:webHidden/>
              </w:rPr>
              <w:instrText xml:space="preserve">PAGEREF _Toc239366267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736" w:leader="dot"/>
            </w:tabs>
            <w:rPr>
              <w:rFonts w:ascii="Aptos" w:hAnsi="Aptos" w:eastAsia="" w:cs="" w:asciiTheme="minorHAnsi" w:cstheme="minorBidi" w:eastAsiaTheme="minorEastAsia" w:hAnsiTheme="minorHAnsi"/>
              <w:b w:val="false"/>
              <w:color w:val="auto"/>
              <w:kern w:val="2"/>
              <w:szCs w:val="24"/>
              <w14:ligatures w14:val="standardContextual"/>
            </w:rPr>
          </w:pPr>
          <w:hyperlink w:anchor="_Toc239366268">
            <w:r>
              <w:rPr>
                <w:webHidden/>
                <w:rStyle w:val="IndexLink"/>
              </w:rPr>
              <w:t>3.</w:t>
            </w:r>
            <w:r>
              <w:rPr>
                <w:rStyle w:val="IndexLink"/>
                <w:bCs/>
              </w:rPr>
              <w:t xml:space="preserve"> System context</w:t>
            </w:r>
            <w:r>
              <w:rPr>
                <w:webHidden/>
              </w:rPr>
              <w:fldChar w:fldCharType="begin"/>
            </w:r>
            <w:r>
              <w:rPr>
                <w:webHidden/>
              </w:rPr>
              <w:instrText xml:space="preserve">PAGEREF _Toc239366268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736" w:leader="dot"/>
            </w:tabs>
            <w:rPr>
              <w:rFonts w:ascii="Aptos" w:hAnsi="Aptos" w:eastAsia="" w:cs="" w:asciiTheme="minorHAnsi" w:cstheme="minorBidi" w:eastAsiaTheme="minorEastAsia" w:hAnsiTheme="minorHAnsi"/>
              <w:color w:val="auto"/>
              <w:kern w:val="2"/>
              <w:szCs w:val="24"/>
              <w14:ligatures w14:val="standardContextual"/>
            </w:rPr>
          </w:pPr>
          <w:hyperlink w:anchor="_Toc239366269">
            <w:r>
              <w:rPr>
                <w:webHidden/>
                <w:rStyle w:val="IndexLink"/>
              </w:rPr>
              <w:t>3.1.</w:t>
            </w:r>
            <w:r>
              <w:rPr>
                <w:rStyle w:val="IndexLink"/>
                <w:bCs/>
              </w:rPr>
              <w:t xml:space="preserve"> External systems</w:t>
            </w:r>
            <w:r>
              <w:rPr>
                <w:webHidden/>
              </w:rPr>
              <w:fldChar w:fldCharType="begin"/>
            </w:r>
            <w:r>
              <w:rPr>
                <w:webHidden/>
              </w:rPr>
              <w:instrText xml:space="preserve">PAGEREF _Toc239366269 \h</w:instrText>
            </w:r>
            <w:r>
              <w:rPr>
                <w:webHidden/>
              </w:rPr>
              <w:fldChar w:fldCharType="separate"/>
            </w:r>
            <w:r>
              <w:rPr>
                <w:rStyle w:val="IndexLink"/>
                <w:vanish w:val="false"/>
              </w:rPr>
              <w:tab/>
              <w:t>5</w:t>
            </w:r>
            <w:r>
              <w:rPr>
                <w:webHidden/>
              </w:rPr>
              <w:fldChar w:fldCharType="end"/>
            </w:r>
          </w:hyperlink>
        </w:p>
        <w:p>
          <w:pPr>
            <w:pStyle w:val="TOC1"/>
            <w:tabs>
              <w:tab w:val="clear" w:pos="720"/>
              <w:tab w:val="right" w:pos="9736" w:leader="dot"/>
            </w:tabs>
            <w:rPr>
              <w:rFonts w:ascii="Aptos" w:hAnsi="Aptos" w:eastAsia="" w:cs="" w:asciiTheme="minorHAnsi" w:cstheme="minorBidi" w:eastAsiaTheme="minorEastAsia" w:hAnsiTheme="minorHAnsi"/>
              <w:b w:val="false"/>
              <w:color w:val="auto"/>
              <w:kern w:val="2"/>
              <w:szCs w:val="24"/>
              <w14:ligatures w14:val="standardContextual"/>
            </w:rPr>
          </w:pPr>
          <w:hyperlink w:anchor="_Toc239366271">
            <w:r>
              <w:rPr>
                <w:webHidden/>
                <w:rStyle w:val="IndexLink"/>
              </w:rPr>
              <w:t>4.</w:t>
            </w:r>
            <w:r>
              <w:rPr>
                <w:rStyle w:val="IndexLink"/>
                <w:bCs/>
              </w:rPr>
              <w:t xml:space="preserve"> Container view and trust zones</w:t>
            </w:r>
            <w:r>
              <w:rPr>
                <w:webHidden/>
              </w:rPr>
              <w:fldChar w:fldCharType="begin"/>
            </w:r>
            <w:r>
              <w:rPr>
                <w:webHidden/>
              </w:rPr>
              <w:instrText xml:space="preserve">PAGEREF _Toc239366271 \h</w:instrText>
            </w:r>
            <w:r>
              <w:rPr>
                <w:webHidden/>
              </w:rPr>
              <w:fldChar w:fldCharType="separate"/>
            </w:r>
            <w:r>
              <w:rPr>
                <w:rStyle w:val="IndexLink"/>
                <w:vanish w:val="false"/>
              </w:rPr>
              <w:tab/>
              <w:t>6</w:t>
            </w:r>
            <w:r>
              <w:rPr>
                <w:webHidden/>
              </w:rPr>
              <w:fldChar w:fldCharType="end"/>
            </w:r>
          </w:hyperlink>
        </w:p>
        <w:p>
          <w:pPr>
            <w:pStyle w:val="TOC1"/>
            <w:tabs>
              <w:tab w:val="clear" w:pos="720"/>
              <w:tab w:val="right" w:pos="9736" w:leader="dot"/>
            </w:tabs>
            <w:rPr>
              <w:rFonts w:ascii="Aptos" w:hAnsi="Aptos" w:eastAsia="" w:cs="" w:asciiTheme="minorHAnsi" w:cstheme="minorBidi" w:eastAsiaTheme="minorEastAsia" w:hAnsiTheme="minorHAnsi"/>
              <w:b w:val="false"/>
              <w:color w:val="auto"/>
              <w:kern w:val="2"/>
              <w:szCs w:val="24"/>
              <w14:ligatures w14:val="standardContextual"/>
            </w:rPr>
          </w:pPr>
          <w:hyperlink w:anchor="_Toc239366277">
            <w:r>
              <w:rPr>
                <w:webHidden/>
                <w:rStyle w:val="IndexLink"/>
              </w:rPr>
              <w:t>5.</w:t>
            </w:r>
            <w:r>
              <w:rPr>
                <w:rStyle w:val="IndexLink"/>
                <w:bCs/>
              </w:rPr>
              <w:t xml:space="preserve"> Deliberately out of scope</w:t>
            </w:r>
            <w:r>
              <w:rPr>
                <w:webHidden/>
              </w:rPr>
              <w:fldChar w:fldCharType="begin"/>
            </w:r>
            <w:r>
              <w:rPr>
                <w:webHidden/>
              </w:rPr>
              <w:instrText xml:space="preserve">PAGEREF _Toc239366277 \h</w:instrText>
            </w:r>
            <w:r>
              <w:rPr>
                <w:webHidden/>
              </w:rPr>
              <w:fldChar w:fldCharType="separate"/>
            </w:r>
            <w:r>
              <w:rPr>
                <w:rStyle w:val="IndexLink"/>
                <w:vanish w:val="false"/>
              </w:rPr>
              <w:tab/>
              <w:t>7</w:t>
            </w:r>
            <w:r>
              <w:rPr>
                <w:webHidden/>
              </w:rPr>
              <w:fldChar w:fldCharType="end"/>
            </w:r>
          </w:hyperlink>
          <w:r>
            <w:rPr>
              <w:rStyle w:val="IndexLink"/>
              <w:vanish w:val="false"/>
            </w:rPr>
            <w:fldChar w:fldCharType="end"/>
          </w:r>
        </w:p>
      </w:sdtContent>
    </w:sdt>
    <w:p>
      <w:pPr>
        <w:pStyle w:val="Normal"/>
        <w:widowControl/>
        <w:bidi w:val="0"/>
        <w:spacing w:lineRule="atLeast" w:line="276" w:before="0" w:after="160"/>
        <w:jc w:val="both"/>
        <w:rPr>
          <w:rFonts w:ascii="Times New Roman" w:hAnsi="Times New Roman" w:cs="Times New Roman"/>
          <w:color w:val="000000"/>
          <w:sz w:val="24"/>
        </w:rPr>
      </w:pPr>
      <w:r>
        <w:rPr>
          <w:rFonts w:cs="Times New Roman"/>
          <w:color w:val="000000"/>
          <w:sz w:val="24"/>
        </w:rPr>
      </w:r>
    </w:p>
    <w:p>
      <w:pPr>
        <w:pStyle w:val="Normal"/>
        <w:spacing w:lineRule="auto" w:line="276"/>
        <w:jc w:val="center"/>
        <w:rPr>
          <w:b/>
        </w:rPr>
      </w:pPr>
      <w:r>
        <w:rPr>
          <w:b/>
        </w:rPr>
      </w:r>
      <w:r>
        <w:br w:type="page"/>
      </w:r>
    </w:p>
    <w:p>
      <w:pPr>
        <w:pStyle w:val="Normal"/>
        <w:spacing w:lineRule="auto" w:line="276" w:before="0" w:after="160"/>
        <w:jc w:val="center"/>
        <w:rPr>
          <w:b/>
        </w:rPr>
      </w:pPr>
      <w:r>
        <w:rPr>
          <w:b/>
        </w:rPr>
        <w:t>List of Figures</w:t>
      </w:r>
    </w:p>
    <w:p>
      <w:pPr>
        <w:pStyle w:val="TableofFigures"/>
        <w:tabs>
          <w:tab w:val="clear" w:pos="720"/>
          <w:tab w:val="right" w:pos="9736" w:leader="dot"/>
        </w:tabs>
        <w:rPr>
          <w:rFonts w:ascii="Aptos" w:hAnsi="Aptos" w:eastAsia="" w:cs="" w:asciiTheme="minorHAnsi" w:cstheme="minorBidi" w:eastAsiaTheme="minorEastAsia" w:hAnsiTheme="minorHAnsi"/>
          <w:color w:val="auto"/>
          <w:kern w:val="2"/>
          <w:szCs w:val="24"/>
          <w14:ligatures w14:val="standardContextual"/>
        </w:rPr>
      </w:pPr>
      <w:r>
        <w:fldChar w:fldCharType="begin"/>
      </w:r>
      <w:r>
        <w:rPr>
          <w:rStyle w:val="IndexLink"/>
        </w:rPr>
        <w:instrText xml:space="preserve"> TOC \c "Figure" \h </w:instrText>
      </w:r>
      <w:r>
        <w:rPr>
          <w:rStyle w:val="IndexLink"/>
        </w:rPr>
        <w:fldChar w:fldCharType="separate"/>
      </w:r>
      <w:hyperlink w:anchor="_Toc239370987">
        <w:r>
          <w:rPr>
            <w:rStyle w:val="IndexLink"/>
          </w:rPr>
          <w:t>Figure 3.1: System Context and Human-Decision Boundaries. Amber marks the test subprocess, which runs only after approval and is not isolated.</w:t>
        </w:r>
        <w:r>
          <w:rPr>
            <w:webHidden/>
          </w:rPr>
          <w:fldChar w:fldCharType="begin"/>
        </w:r>
        <w:r>
          <w:rPr>
            <w:webHidden/>
          </w:rPr>
          <w:instrText xml:space="preserve">PAGEREF _Toc239370987 \h</w:instrText>
        </w:r>
        <w:r>
          <w:rPr>
            <w:webHidden/>
          </w:rPr>
          <w:fldChar w:fldCharType="separate"/>
        </w:r>
        <w:r>
          <w:rPr>
            <w:rStyle w:val="IndexLink"/>
            <w:vanish w:val="false"/>
          </w:rPr>
          <w:tab/>
          <w:t>5</w:t>
        </w:r>
        <w:r>
          <w:rPr>
            <w:webHidden/>
          </w:rPr>
          <w:fldChar w:fldCharType="end"/>
        </w:r>
      </w:hyperlink>
    </w:p>
    <w:p>
      <w:pPr>
        <w:pStyle w:val="TableofFigures"/>
        <w:tabs>
          <w:tab w:val="clear" w:pos="720"/>
          <w:tab w:val="right" w:pos="9736" w:leader="dot"/>
        </w:tabs>
        <w:rPr>
          <w:rFonts w:ascii="Aptos" w:hAnsi="Aptos" w:eastAsia="" w:cs="" w:asciiTheme="minorHAnsi" w:cstheme="minorBidi" w:eastAsiaTheme="minorEastAsia" w:hAnsiTheme="minorHAnsi"/>
          <w:color w:val="auto"/>
          <w:kern w:val="2"/>
          <w:szCs w:val="24"/>
          <w14:ligatures w14:val="standardContextual"/>
        </w:rPr>
      </w:pPr>
      <w:hyperlink w:anchor="_Toc239370988">
        <w:r>
          <w:rPr>
            <w:rStyle w:val="IndexLink"/>
          </w:rPr>
          <w:t xml:space="preserve">Figure 4.1: Container View across Five Trust Zones. Amber marks the approval gate and the zones that rely on a human decision or have limited isolation.</w:t>
        </w:r>
        <w:r>
          <w:rPr>
            <w:webHidden/>
          </w:rPr>
          <w:fldChar w:fldCharType="begin"/>
        </w:r>
        <w:r>
          <w:rPr>
            <w:webHidden/>
          </w:rPr>
          <w:instrText xml:space="preserve">PAGEREF _Toc239370988 \h</w:instrText>
        </w:r>
        <w:r>
          <w:rPr>
            <w:webHidden/>
          </w:rPr>
          <w:fldChar w:fldCharType="separate"/>
        </w:r>
        <w:r>
          <w:rPr>
            <w:rStyle w:val="IndexLink"/>
            <w:vanish w:val="false"/>
          </w:rPr>
          <w:tab/>
          <w:t>6</w:t>
        </w:r>
        <w:r>
          <w:rPr>
            <w:webHidden/>
          </w:rPr>
          <w:fldChar w:fldCharType="end"/>
        </w:r>
      </w:hyperlink>
      <w:r>
        <w:rPr>
          <w:rStyle w:val="IndexLink"/>
          <w:vanish w:val="false"/>
        </w:rPr>
        <w:fldChar w:fldCharType="end"/>
      </w:r>
    </w:p>
    <w:p>
      <w:pPr>
        <w:pStyle w:val="Normal"/>
        <w:rPr/>
      </w:pPr>
      <w:r>
        <w:rPr/>
      </w:r>
    </w:p>
    <w:p>
      <w:pPr>
        <w:pStyle w:val="Normal"/>
        <w:spacing w:lineRule="auto" w:line="276"/>
        <w:jc w:val="center"/>
        <w:rPr>
          <w:b/>
        </w:rPr>
      </w:pPr>
      <w:r>
        <w:rPr>
          <w:b/>
        </w:rPr>
        <w:t>List of Tables</w:t>
      </w:r>
    </w:p>
    <w:p>
      <w:pPr>
        <w:pStyle w:val="TableofFigures"/>
        <w:tabs>
          <w:tab w:val="clear" w:pos="720"/>
          <w:tab w:val="right" w:pos="9736" w:leader="dot"/>
        </w:tabs>
        <w:rPr>
          <w:rFonts w:ascii="Aptos" w:hAnsi="Aptos" w:eastAsia="" w:cs="" w:asciiTheme="minorHAnsi" w:cstheme="minorBidi" w:eastAsiaTheme="minorEastAsia" w:hAnsiTheme="minorHAnsi"/>
          <w:color w:val="auto"/>
          <w:kern w:val="2"/>
          <w:szCs w:val="24"/>
          <w14:ligatures w14:val="standardContextual"/>
        </w:rPr>
      </w:pPr>
      <w:r>
        <w:fldChar w:fldCharType="begin"/>
      </w:r>
      <w:r>
        <w:rPr>
          <w:rStyle w:val="IndexLink"/>
        </w:rPr>
        <w:instrText xml:space="preserve"> TOC \c "Table" \h </w:instrText>
      </w:r>
      <w:r>
        <w:rPr>
          <w:rStyle w:val="IndexLink"/>
        </w:rPr>
        <w:fldChar w:fldCharType="separate"/>
      </w:r>
      <w:hyperlink w:anchor="_Toc239366281">
        <w:r>
          <w:rPr>
            <w:rStyle w:val="IndexLink"/>
          </w:rPr>
          <w:t>Table 2.1: Architectural Principles and Their Enforcement Points</w:t>
        </w:r>
        <w:r>
          <w:rPr>
            <w:webHidden/>
          </w:rPr>
          <w:fldChar w:fldCharType="begin"/>
        </w:r>
        <w:r>
          <w:rPr>
            <w:webHidden/>
          </w:rPr>
          <w:instrText xml:space="preserve">PAGEREF _Toc239366281 \h</w:instrText>
        </w:r>
        <w:r>
          <w:rPr>
            <w:webHidden/>
          </w:rPr>
          <w:fldChar w:fldCharType="separate"/>
        </w:r>
        <w:r>
          <w:rPr>
            <w:rStyle w:val="IndexLink"/>
            <w:vanish w:val="false"/>
          </w:rPr>
          <w:tab/>
          <w:t>4</w:t>
        </w:r>
        <w:r>
          <w:rPr>
            <w:webHidden/>
          </w:rPr>
          <w:fldChar w:fldCharType="end"/>
        </w:r>
      </w:hyperlink>
    </w:p>
    <w:p>
      <w:pPr>
        <w:pStyle w:val="TableofFigures"/>
        <w:tabs>
          <w:tab w:val="clear" w:pos="720"/>
          <w:tab w:val="right" w:pos="9736" w:leader="dot"/>
        </w:tabs>
        <w:rPr>
          <w:rFonts w:ascii="Aptos" w:hAnsi="Aptos" w:eastAsia="" w:cs="" w:asciiTheme="minorHAnsi" w:cstheme="minorBidi" w:eastAsiaTheme="minorEastAsia" w:hAnsiTheme="minorHAnsi"/>
          <w:color w:val="auto"/>
          <w:kern w:val="2"/>
          <w:szCs w:val="24"/>
          <w14:ligatures w14:val="standardContextual"/>
        </w:rPr>
      </w:pPr>
      <w:hyperlink w:anchor="_Toc239366282">
        <w:r>
          <w:rPr>
            <w:rStyle w:val="IndexLink"/>
          </w:rPr>
          <w:t>Table 3.1: Primary Actor and Responsibilities</w:t>
        </w:r>
        <w:r>
          <w:rPr>
            <w:webHidden/>
          </w:rPr>
          <w:fldChar w:fldCharType="begin"/>
        </w:r>
        <w:r>
          <w:rPr>
            <w:webHidden/>
          </w:rPr>
          <w:instrText xml:space="preserve">PAGEREF _Toc239366282 \h</w:instrText>
        </w:r>
        <w:r>
          <w:rPr>
            <w:webHidden/>
          </w:rPr>
          <w:fldChar w:fldCharType="separate"/>
        </w:r>
        <w:r>
          <w:rPr>
            <w:rStyle w:val="IndexLink"/>
            <w:vanish w:val="false"/>
          </w:rPr>
          <w:tab/>
          <w:t>5</w:t>
        </w:r>
        <w:r>
          <w:rPr>
            <w:webHidden/>
          </w:rPr>
          <w:fldChar w:fldCharType="end"/>
        </w:r>
      </w:hyperlink>
    </w:p>
    <w:p>
      <w:pPr>
        <w:pStyle w:val="TableofFigures"/>
        <w:tabs>
          <w:tab w:val="clear" w:pos="720"/>
          <w:tab w:val="right" w:pos="9736" w:leader="dot"/>
        </w:tabs>
        <w:rPr>
          <w:rFonts w:ascii="Aptos" w:hAnsi="Aptos" w:eastAsia="" w:cs="" w:asciiTheme="minorHAnsi" w:cstheme="minorBidi" w:eastAsiaTheme="minorEastAsia" w:hAnsiTheme="minorHAnsi"/>
          <w:color w:val="auto"/>
          <w:kern w:val="2"/>
          <w:szCs w:val="24"/>
          <w14:ligatures w14:val="standardContextual"/>
        </w:rPr>
      </w:pPr>
      <w:hyperlink w:anchor="_Toc239366283">
        <w:r>
          <w:rPr>
            <w:rStyle w:val="IndexLink"/>
          </w:rPr>
          <w:t>Table 3.2: External Systems, Trust Levels and Interface Contracts</w:t>
        </w:r>
        <w:r>
          <w:rPr>
            <w:webHidden/>
          </w:rPr>
          <w:fldChar w:fldCharType="begin"/>
        </w:r>
        <w:r>
          <w:rPr>
            <w:webHidden/>
          </w:rPr>
          <w:instrText xml:space="preserve">PAGEREF _Toc239366283 \h</w:instrText>
        </w:r>
        <w:r>
          <w:rPr>
            <w:webHidden/>
          </w:rPr>
          <w:fldChar w:fldCharType="separate"/>
        </w:r>
        <w:r>
          <w:rPr>
            <w:rStyle w:val="IndexLink"/>
            <w:vanish w:val="false"/>
          </w:rPr>
          <w:tab/>
          <w:t>5</w:t>
        </w:r>
        <w:r>
          <w:rPr>
            <w:webHidden/>
          </w:rPr>
          <w:fldChar w:fldCharType="end"/>
        </w:r>
      </w:hyperlink>
    </w:p>
    <w:p>
      <w:pPr>
        <w:pStyle w:val="TableofFigures"/>
        <w:tabs>
          <w:tab w:val="clear" w:pos="720"/>
          <w:tab w:val="right" w:pos="9736" w:leader="dot"/>
        </w:tabs>
        <w:rPr>
          <w:rFonts w:ascii="Aptos" w:hAnsi="Aptos" w:eastAsia="" w:cs="" w:asciiTheme="minorHAnsi" w:cstheme="minorBidi" w:eastAsiaTheme="minorEastAsia" w:hAnsiTheme="minorHAnsi"/>
          <w:color w:val="auto"/>
          <w:kern w:val="2"/>
          <w:szCs w:val="24"/>
          <w14:ligatures w14:val="standardContextual"/>
        </w:rPr>
      </w:pPr>
      <w:hyperlink w:anchor="_Toc239366285">
        <w:r>
          <w:rPr>
            <w:rStyle w:val="IndexLink"/>
          </w:rPr>
          <w:t>Table 4.1: Trust Zones and Boundary Semantics</w:t>
        </w:r>
        <w:r>
          <w:rPr>
            <w:webHidden/>
          </w:rPr>
          <w:fldChar w:fldCharType="begin"/>
        </w:r>
        <w:r>
          <w:rPr>
            <w:webHidden/>
          </w:rPr>
          <w:instrText xml:space="preserve">PAGEREF _Toc239366285 \h</w:instrText>
        </w:r>
        <w:r>
          <w:rPr>
            <w:webHidden/>
          </w:rPr>
          <w:fldChar w:fldCharType="separate"/>
        </w:r>
        <w:r>
          <w:rPr>
            <w:rStyle w:val="IndexLink"/>
            <w:vanish w:val="false"/>
          </w:rPr>
          <w:tab/>
          <w:t>6</w:t>
        </w:r>
        <w:r>
          <w:rPr>
            <w:webHidden/>
          </w:rPr>
          <w:fldChar w:fldCharType="end"/>
        </w:r>
      </w:hyperlink>
      <w:r>
        <w:rPr>
          <w:rStyle w:val="IndexLink"/>
          <w:vanish w:val="false"/>
        </w:rPr>
        <w:fldChar w:fldCharType="end"/>
      </w:r>
    </w:p>
    <w:p>
      <w:pPr>
        <w:pStyle w:val="Normal"/>
        <w:rPr/>
      </w:pPr>
      <w:r>
        <w:rPr/>
      </w:r>
    </w:p>
    <w:p>
      <w:pPr>
        <w:pStyle w:val="Normal"/>
        <w:spacing w:before="0" w:after="0"/>
        <w:rPr/>
      </w:pPr>
      <w:r>
        <w:rPr/>
      </w:r>
      <w:bookmarkStart w:id="1" w:name="_Toc239365240"/>
      <w:bookmarkStart w:id="2" w:name="_Toc239365240"/>
      <w:r>
        <w:br w:type="page"/>
      </w:r>
    </w:p>
    <w:p>
      <w:pPr>
        <w:pStyle w:val="Heading1"/>
        <w:numPr>
          <w:ilvl w:val="0"/>
          <w:numId w:val="2"/>
        </w:numPr>
        <w:spacing w:before="0" w:after="140"/>
        <w:rPr/>
      </w:pPr>
      <w:bookmarkStart w:id="3" w:name="_Toc239365240"/>
      <w:bookmarkStart w:id="4" w:name="_Toc239366265"/>
      <w:r>
        <w:rPr>
          <w:bCs/>
          <w:szCs w:val="27"/>
        </w:rPr>
        <w:t>Purpose and scope</w:t>
      </w:r>
      <w:bookmarkEnd w:id="3"/>
      <w:bookmarkEnd w:id="4"/>
    </w:p>
    <w:p>
      <w:pPr>
        <w:pStyle w:val="Normal"/>
        <w:spacing w:lineRule="auto" w:line="276" w:before="0" w:after="120"/>
        <w:rPr/>
      </w:pPr>
      <w:r>
        <w:rPr/>
        <w:t xml:space="preserve">This document specifies the architecture of the Software-Engineering QA Agent: its context boundary, its containers, the trust zones they sit in, and the interfaces between them. It was first written as the Week 1 architecture and context deliverable and has been updated for the Week 8 release (tag v1.0.0), so it now describes the system as implemented.</w:t>
      </w:r>
    </w:p>
    <w:p>
      <w:pPr>
        <w:pStyle w:val="Normal"/>
        <w:spacing w:lineRule="auto" w:line="276" w:before="0" w:after="120"/>
        <w:rPr/>
      </w:pPr>
      <w:r>
        <w:rPr/>
        <w:t xml:space="preserve">The Week 1 design assumed a web interface, a disposable network-disabled sandbox container and a token-scoped GitHub client. None of these was built. This version describes what the code provides instead: Python interfaces and command-line scripts, an allow-listed test subprocess, and an issue draft that a person posts. Final report Section 3 (docs/integration/week8-member2-system-architecture.md) names the module behind each component, and the editable diagrams are in docs/architecture/qa-agent-architecture (1).drawio.</w:t>
      </w:r>
    </w:p>
    <w:p>
      <w:pPr>
        <w:pStyle w:val="Heading2"/>
        <w:numPr>
          <w:ilvl w:val="1"/>
          <w:numId w:val="2"/>
        </w:numPr>
        <w:spacing w:before="240" w:after="100"/>
        <w:rPr/>
      </w:pPr>
      <w:bookmarkStart w:id="5" w:name="_Toc239366266"/>
      <w:bookmarkStart w:id="6" w:name="_Toc239365241"/>
      <w:r>
        <w:rPr>
          <w:bCs/>
          <w:szCs w:val="22"/>
        </w:rPr>
        <w:t>What the system does</w:t>
      </w:r>
      <w:bookmarkEnd w:id="5"/>
      <w:bookmarkEnd w:id="6"/>
    </w:p>
    <w:p>
      <w:pPr>
        <w:pStyle w:val="Normal"/>
        <w:spacing w:lineRule="auto" w:line="276" w:before="0" w:after="120"/>
        <w:rPr/>
      </w:pPr>
      <w:r>
        <w:rPr/>
        <w:t xml:space="preserve">A QA engineer asks the system to triage a failing or newly changed area of a repository. The system grounds itself in a provenance-tagged corpus of that repository's requirements, documentation and code, proposes tests, runs approved existing tests in a subprocess, explains what failed and why, and drafts an issue for a human to review and post.</w:t>
      </w:r>
    </w:p>
    <w:p>
      <w:pPr>
        <w:pStyle w:val="Normal"/>
        <w:spacing w:lineRule="auto" w:line="276" w:before="0" w:after="120"/>
        <w:rPr/>
      </w:pPr>
      <w:r>
        <w:rPr/>
        <w:t>The system diagnoses and drafts. It does not fix, merge or deploy.</w:t>
      </w:r>
    </w:p>
    <w:p>
      <w:pPr>
        <w:pStyle w:val="Heading1"/>
        <w:numPr>
          <w:ilvl w:val="0"/>
          <w:numId w:val="2"/>
        </w:numPr>
        <w:spacing w:before="320" w:after="140"/>
        <w:rPr/>
      </w:pPr>
      <w:bookmarkStart w:id="7" w:name="_Toc239366267"/>
      <w:bookmarkStart w:id="8" w:name="_Toc239365242"/>
      <w:r>
        <w:rPr>
          <w:bCs/>
          <w:szCs w:val="27"/>
        </w:rPr>
        <w:t>Architectural principles</w:t>
      </w:r>
      <w:bookmarkEnd w:id="7"/>
      <w:bookmarkEnd w:id="8"/>
    </w:p>
    <w:p>
      <w:pPr>
        <w:pStyle w:val="Normal"/>
        <w:spacing w:lineRule="auto" w:line="276" w:before="0" w:after="120"/>
        <w:rPr/>
      </w:pPr>
      <w:r>
        <w:rPr/>
        <w:t>Five principles constrain the design. Each is testable, and each maps to a control that appears later in this document.</w:t>
      </w:r>
    </w:p>
    <w:p>
      <w:pPr>
        <w:pStyle w:val="Caption"/>
        <w:keepNext/>
        <w:spacing w:lineRule="auto" w:line="240"/>
        <w:rPr/>
      </w:pPr>
      <w:bookmarkStart w:id="9" w:name="_Toc239366281"/>
      <w:bookmarkStart w:id="10" w:name="_Toc239365263"/>
      <w:r>
        <w:rPr/>
        <w:t xml:space="preserve">Table </w:t>
      </w:r>
      <w:r>
        <w:rPr/>
        <w:t>2</w:t>
      </w:r>
      <w:r>
        <w:rPr/>
        <w:t>.</w:t>
      </w:r>
      <w:r>
        <w:rPr/>
        <w:fldChar w:fldCharType="begin"/>
      </w:r>
      <w:r>
        <w:rPr/>
        <w:instrText xml:space="preserve"> SEQ Table \r 1 \* ARABIC </w:instrText>
      </w:r>
      <w:r>
        <w:rPr/>
        <w:fldChar w:fldCharType="separate"/>
      </w:r>
      <w:r>
        <w:rPr/>
        <w:t>1</w:t>
      </w:r>
      <w:r>
        <w:rPr/>
        <w:fldChar w:fldCharType="end"/>
      </w:r>
      <w:r>
        <w:rPr/>
        <w:t>: Architectural Principles and Their Enforcement Points</w:t>
      </w:r>
      <w:bookmarkEnd w:id="9"/>
      <w:bookmarkEnd w:id="10"/>
    </w:p>
    <w:tbl>
      <w:tblPr>
        <w:tblStyle w:val="TableGrid"/>
        <w:tblW w:w="97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83"/>
        <w:gridCol w:w="2601"/>
        <w:gridCol w:w="6556"/>
      </w:tblGrid>
      <w:tr>
        <w:trPr/>
        <w:tc>
          <w:tcPr>
            <w:tcW w:w="583" w:type="dxa"/>
            <w:tcBorders/>
          </w:tcPr>
          <w:p>
            <w:pPr>
              <w:pStyle w:val="Normal"/>
              <w:widowControl/>
              <w:spacing w:lineRule="auto" w:line="240" w:before="0" w:after="0"/>
              <w:jc w:val="left"/>
              <w:rPr>
                <w:sz w:val="20"/>
              </w:rPr>
            </w:pPr>
            <w:r>
              <w:rPr>
                <w:rFonts w:eastAsia="Calibri"/>
                <w:kern w:val="0"/>
                <w:sz w:val="20"/>
                <w:szCs w:val="21"/>
                <w:lang w:val="en-US" w:eastAsia="en-US" w:bidi="ar-SA"/>
              </w:rPr>
              <w:t>S/N</w:t>
            </w:r>
          </w:p>
        </w:tc>
        <w:tc>
          <w:tcPr>
            <w:tcW w:w="2601" w:type="dxa"/>
            <w:tcBorders/>
          </w:tcPr>
          <w:p>
            <w:pPr>
              <w:pStyle w:val="Normal"/>
              <w:widowControl/>
              <w:spacing w:lineRule="auto" w:line="240" w:before="0" w:after="0"/>
              <w:jc w:val="left"/>
              <w:rPr>
                <w:sz w:val="20"/>
              </w:rPr>
            </w:pPr>
            <w:r>
              <w:rPr>
                <w:rFonts w:eastAsia="Calibri"/>
                <w:kern w:val="0"/>
                <w:sz w:val="20"/>
                <w:szCs w:val="21"/>
                <w:lang w:val="en-US" w:eastAsia="en-US" w:bidi="ar-SA"/>
              </w:rPr>
              <w:t>Principle</w:t>
            </w:r>
          </w:p>
        </w:tc>
        <w:tc>
          <w:tcPr>
            <w:tcW w:w="6556" w:type="dxa"/>
            <w:tcBorders/>
          </w:tcPr>
          <w:p>
            <w:pPr>
              <w:pStyle w:val="Normal"/>
              <w:widowControl/>
              <w:spacing w:lineRule="auto" w:line="240" w:before="0" w:after="0"/>
              <w:jc w:val="left"/>
              <w:rPr>
                <w:sz w:val="20"/>
              </w:rPr>
            </w:pPr>
            <w:r>
              <w:rPr>
                <w:rFonts w:eastAsia="Calibri"/>
                <w:kern w:val="0"/>
                <w:sz w:val="20"/>
                <w:szCs w:val="21"/>
                <w:lang w:val="en-US" w:eastAsia="en-US" w:bidi="ar-SA"/>
              </w:rPr>
              <w:t>How it shows up in the architecture</w:t>
            </w:r>
          </w:p>
        </w:tc>
      </w:tr>
      <w:tr>
        <w:trPr/>
        <w:tc>
          <w:tcPr>
            <w:tcW w:w="583" w:type="dxa"/>
            <w:tcBorders/>
          </w:tcPr>
          <w:p>
            <w:pPr>
              <w:pStyle w:val="Normal"/>
              <w:widowControl/>
              <w:spacing w:lineRule="auto" w:line="240" w:before="0" w:after="0"/>
              <w:jc w:val="left"/>
              <w:rPr>
                <w:sz w:val="20"/>
              </w:rPr>
            </w:pPr>
            <w:r>
              <w:rPr>
                <w:rFonts w:eastAsia="Calibri"/>
                <w:kern w:val="0"/>
                <w:sz w:val="20"/>
                <w:szCs w:val="21"/>
                <w:lang w:val="en-US" w:eastAsia="en-US" w:bidi="ar-SA"/>
              </w:rPr>
              <w:t>P1</w:t>
            </w:r>
          </w:p>
        </w:tc>
        <w:tc>
          <w:tcPr>
            <w:tcW w:w="2601" w:type="dxa"/>
            <w:tcBorders/>
          </w:tcPr>
          <w:p>
            <w:pPr>
              <w:pStyle w:val="Normal"/>
              <w:widowControl/>
              <w:spacing w:lineRule="auto" w:line="240" w:before="0" w:after="0"/>
              <w:jc w:val="left"/>
              <w:rPr>
                <w:sz w:val="20"/>
              </w:rPr>
            </w:pPr>
            <w:r>
              <w:rPr>
                <w:rFonts w:eastAsia="Calibri"/>
                <w:kern w:val="0"/>
                <w:sz w:val="20"/>
                <w:szCs w:val="21"/>
                <w:lang w:val="en-US" w:eastAsia="en-US" w:bidi="ar-SA"/>
              </w:rPr>
              <w:t>Model output is untrusted input</w:t>
            </w:r>
          </w:p>
        </w:tc>
        <w:tc>
          <w:tcPr>
            <w:tcW w:w="6556" w:type="dxa"/>
            <w:tcBorders/>
          </w:tcPr>
          <w:p>
            <w:pPr>
              <w:pStyle w:val="Normal"/>
              <w:widowControl/>
              <w:spacing w:lineRule="auto" w:line="240" w:before="0" w:after="0"/>
              <w:jc w:val="left"/>
              <w:rPr>
                <w:sz w:val="20"/>
              </w:rPr>
            </w:pPr>
            <w:r>
              <w:rPr>
                <w:rFonts w:eastAsia="Calibri"/>
                <w:kern w:val="0"/>
                <w:sz w:val="20"/>
                <w:szCs w:val="21"/>
                <w:lang w:val="en-US" w:eastAsia="en-US" w:bidi="ar-SA"/>
              </w:rPr>
              <w:t xml:space="preserve">Every action the model proposes is parsed as a ProposalSet, its citations are checked against the current context, and the dispatcher validates it against the fixed tool registry, the caller's role and the tool's argument schema before anything executes. The AgentLoop does not call the memory store directly.</w:t>
            </w:r>
          </w:p>
        </w:tc>
      </w:tr>
      <w:tr>
        <w:trPr/>
        <w:tc>
          <w:tcPr>
            <w:tcW w:w="583" w:type="dxa"/>
            <w:tcBorders/>
          </w:tcPr>
          <w:p>
            <w:pPr>
              <w:pStyle w:val="Normal"/>
              <w:widowControl/>
              <w:spacing w:lineRule="auto" w:line="240" w:before="0" w:after="0"/>
              <w:jc w:val="left"/>
              <w:rPr>
                <w:sz w:val="20"/>
              </w:rPr>
            </w:pPr>
            <w:r>
              <w:rPr>
                <w:rFonts w:eastAsia="Calibri"/>
                <w:kern w:val="0"/>
                <w:sz w:val="20"/>
                <w:szCs w:val="21"/>
                <w:lang w:val="en-US" w:eastAsia="en-US" w:bidi="ar-SA"/>
              </w:rPr>
              <w:t>P2</w:t>
            </w:r>
          </w:p>
        </w:tc>
        <w:tc>
          <w:tcPr>
            <w:tcW w:w="2601" w:type="dxa"/>
            <w:tcBorders/>
          </w:tcPr>
          <w:p>
            <w:pPr>
              <w:pStyle w:val="Normal"/>
              <w:widowControl/>
              <w:spacing w:lineRule="auto" w:line="240" w:before="0" w:after="0"/>
              <w:jc w:val="left"/>
              <w:rPr>
                <w:sz w:val="20"/>
              </w:rPr>
            </w:pPr>
            <w:r>
              <w:rPr>
                <w:rFonts w:eastAsia="Calibri"/>
                <w:kern w:val="0"/>
                <w:sz w:val="20"/>
                <w:szCs w:val="21"/>
                <w:lang w:val="en-US" w:eastAsia="en-US" w:bidi="ar-SA"/>
              </w:rPr>
              <w:t>One choke point for every action</w:t>
            </w:r>
          </w:p>
        </w:tc>
        <w:tc>
          <w:tcPr>
            <w:tcW w:w="6556" w:type="dxa"/>
            <w:tcBorders/>
          </w:tcPr>
          <w:p>
            <w:pPr>
              <w:pStyle w:val="Normal"/>
              <w:widowControl/>
              <w:spacing w:lineRule="auto" w:line="240" w:before="0" w:after="0"/>
              <w:jc w:val="left"/>
              <w:rPr>
                <w:sz w:val="20"/>
              </w:rPr>
            </w:pPr>
            <w:r>
              <w:rPr>
                <w:rFonts w:eastAsia="Calibri"/>
                <w:kern w:val="0"/>
                <w:sz w:val="20"/>
                <w:szCs w:val="21"/>
                <w:lang w:val="en-US" w:eastAsia="en-US" w:bidi="ar-SA"/>
              </w:rPr>
              <w:t xml:space="preserve">ToolDispatcher is the only route to the registered tools: search_repo, read_file, run_tests and draft_issue. The AgentLoop dispatches at most one action per turn and has no other path to a tool.</w:t>
            </w:r>
          </w:p>
        </w:tc>
      </w:tr>
      <w:tr>
        <w:trPr/>
        <w:tc>
          <w:tcPr>
            <w:tcW w:w="583" w:type="dxa"/>
            <w:tcBorders/>
          </w:tcPr>
          <w:p>
            <w:pPr>
              <w:pStyle w:val="Normal"/>
              <w:widowControl/>
              <w:spacing w:lineRule="auto" w:line="240" w:before="0" w:after="0"/>
              <w:jc w:val="left"/>
              <w:rPr>
                <w:sz w:val="20"/>
              </w:rPr>
            </w:pPr>
            <w:r>
              <w:rPr>
                <w:rFonts w:eastAsia="Calibri"/>
                <w:kern w:val="0"/>
                <w:sz w:val="20"/>
                <w:szCs w:val="21"/>
                <w:lang w:val="en-US" w:eastAsia="en-US" w:bidi="ar-SA"/>
              </w:rPr>
              <w:t>P3</w:t>
            </w:r>
          </w:p>
        </w:tc>
        <w:tc>
          <w:tcPr>
            <w:tcW w:w="2601" w:type="dxa"/>
            <w:tcBorders/>
          </w:tcPr>
          <w:p>
            <w:pPr>
              <w:pStyle w:val="Normal"/>
              <w:widowControl/>
              <w:spacing w:lineRule="auto" w:line="240" w:before="0" w:after="0"/>
              <w:jc w:val="left"/>
              <w:rPr>
                <w:sz w:val="20"/>
              </w:rPr>
            </w:pPr>
            <w:r>
              <w:rPr>
                <w:rFonts w:eastAsia="Calibri"/>
                <w:kern w:val="0"/>
                <w:sz w:val="20"/>
                <w:szCs w:val="21"/>
                <w:lang w:val="en-US" w:eastAsia="en-US" w:bidi="ar-SA"/>
              </w:rPr>
              <w:t>Side effects are gated, not merely logged</w:t>
            </w:r>
          </w:p>
        </w:tc>
        <w:tc>
          <w:tcPr>
            <w:tcW w:w="6556" w:type="dxa"/>
            <w:tcBorders/>
          </w:tcPr>
          <w:p>
            <w:pPr>
              <w:pStyle w:val="Normal"/>
              <w:widowControl/>
              <w:spacing w:lineRule="auto" w:line="240" w:before="0" w:after="0"/>
              <w:jc w:val="left"/>
              <w:rPr>
                <w:sz w:val="20"/>
              </w:rPr>
            </w:pPr>
            <w:r>
              <w:rPr>
                <w:rFonts w:eastAsia="Calibri"/>
                <w:kern w:val="0"/>
                <w:sz w:val="20"/>
                <w:szCs w:val="21"/>
                <w:lang w:val="en-US" w:eastAsia="en-US" w:bidi="ar-SA"/>
              </w:rPr>
              <w:t xml:space="preserve">run_tests and draft_issue need a human decision at the approval gate. A pending request pauses the session, and a request left unanswered expires as a denial; nothing is approved by timeout. Each decision is recorded with who made it and when.</w:t>
            </w:r>
          </w:p>
        </w:tc>
      </w:tr>
      <w:tr>
        <w:trPr/>
        <w:tc>
          <w:tcPr>
            <w:tcW w:w="583" w:type="dxa"/>
            <w:tcBorders/>
          </w:tcPr>
          <w:p>
            <w:pPr>
              <w:pStyle w:val="Normal"/>
              <w:widowControl/>
              <w:spacing w:lineRule="auto" w:line="240" w:before="0" w:after="0"/>
              <w:jc w:val="left"/>
              <w:rPr>
                <w:sz w:val="20"/>
              </w:rPr>
            </w:pPr>
            <w:r>
              <w:rPr>
                <w:rFonts w:eastAsia="Calibri"/>
                <w:kern w:val="0"/>
                <w:sz w:val="20"/>
                <w:szCs w:val="21"/>
                <w:lang w:val="en-US" w:eastAsia="en-US" w:bidi="ar-SA"/>
              </w:rPr>
              <w:t>P4</w:t>
            </w:r>
          </w:p>
        </w:tc>
        <w:tc>
          <w:tcPr>
            <w:tcW w:w="2601" w:type="dxa"/>
            <w:tcBorders/>
          </w:tcPr>
          <w:p>
            <w:pPr>
              <w:pStyle w:val="Normal"/>
              <w:widowControl/>
              <w:spacing w:lineRule="auto" w:line="240" w:before="0" w:after="0"/>
              <w:jc w:val="left"/>
              <w:rPr>
                <w:sz w:val="20"/>
              </w:rPr>
            </w:pPr>
            <w:r>
              <w:rPr>
                <w:rFonts w:eastAsia="Calibri"/>
                <w:kern w:val="0"/>
                <w:sz w:val="20"/>
                <w:szCs w:val="21"/>
                <w:lang w:val="en-US" w:eastAsia="en-US" w:bidi="ar-SA"/>
              </w:rPr>
              <w:t>The corpus is read-only and frozen</w:t>
            </w:r>
          </w:p>
        </w:tc>
        <w:tc>
          <w:tcPr>
            <w:tcW w:w="6556" w:type="dxa"/>
            <w:tcBorders/>
          </w:tcPr>
          <w:p>
            <w:pPr>
              <w:pStyle w:val="Normal"/>
              <w:widowControl/>
              <w:spacing w:lineRule="auto" w:line="240" w:before="0" w:after="0"/>
              <w:jc w:val="left"/>
              <w:rPr>
                <w:sz w:val="20"/>
              </w:rPr>
            </w:pPr>
            <w:r>
              <w:rPr>
                <w:rFonts w:eastAsia="Calibri"/>
                <w:kern w:val="0"/>
                <w:sz w:val="20"/>
                <w:szCs w:val="21"/>
                <w:lang w:val="en-US" w:eastAsia="en-US" w:bidi="ar-SA"/>
              </w:rPr>
              <w:t xml:space="preserve">The corpus is a curated set of repository files, copied as plain text into knowledge/corpus/ and listed with a SHA-256 hash in knowledge/source-register.json. None of the agent's tools writes to it, and each retrieval result carries a corpus fingerprint, so evaluation runs are reproducible.</w:t>
            </w:r>
          </w:p>
        </w:tc>
      </w:tr>
      <w:tr>
        <w:trPr/>
        <w:tc>
          <w:tcPr>
            <w:tcW w:w="583" w:type="dxa"/>
            <w:tcBorders/>
          </w:tcPr>
          <w:p>
            <w:pPr>
              <w:pStyle w:val="Normal"/>
              <w:widowControl/>
              <w:spacing w:lineRule="auto" w:line="240" w:before="0" w:after="0"/>
              <w:jc w:val="left"/>
              <w:rPr>
                <w:sz w:val="20"/>
              </w:rPr>
            </w:pPr>
            <w:r>
              <w:rPr>
                <w:rFonts w:eastAsia="Calibri"/>
                <w:kern w:val="0"/>
                <w:sz w:val="20"/>
                <w:szCs w:val="21"/>
                <w:lang w:val="en-US" w:eastAsia="en-US" w:bidi="ar-SA"/>
              </w:rPr>
              <w:t>P5</w:t>
            </w:r>
          </w:p>
        </w:tc>
        <w:tc>
          <w:tcPr>
            <w:tcW w:w="2601" w:type="dxa"/>
            <w:tcBorders/>
          </w:tcPr>
          <w:p>
            <w:pPr>
              <w:pStyle w:val="Normal"/>
              <w:widowControl/>
              <w:spacing w:lineRule="auto" w:line="240" w:before="0" w:after="0"/>
              <w:jc w:val="left"/>
              <w:rPr>
                <w:sz w:val="20"/>
              </w:rPr>
            </w:pPr>
            <w:r>
              <w:rPr>
                <w:rFonts w:eastAsia="Calibri"/>
                <w:kern w:val="0"/>
                <w:sz w:val="20"/>
                <w:szCs w:val="21"/>
                <w:lang w:val="en-US" w:eastAsia="en-US" w:bidi="ar-SA"/>
              </w:rPr>
              <w:t xml:space="preserve">Every run can be reviewed</w:t>
            </w:r>
          </w:p>
        </w:tc>
        <w:tc>
          <w:tcPr>
            <w:tcW w:w="6556" w:type="dxa"/>
            <w:tcBorders/>
          </w:tcPr>
          <w:p>
            <w:pPr>
              <w:pStyle w:val="Normal"/>
              <w:widowControl/>
              <w:spacing w:lineRule="auto" w:line="240" w:before="0" w:after="0"/>
              <w:jc w:val="left"/>
              <w:rPr>
                <w:sz w:val="20"/>
              </w:rPr>
            </w:pPr>
            <w:r>
              <w:rPr>
                <w:rFonts w:eastAsia="Calibri"/>
                <w:kern w:val="0"/>
                <w:sz w:val="20"/>
                <w:szCs w:val="21"/>
                <w:lang w:val="en-US" w:eastAsia="en-US" w:bidi="ar-SA"/>
              </w:rPr>
              <w:t xml:space="preserve">Prompts are loaded by id and version from docs/prompts/. RunLogger writes run events as JSON Lines, and the step telemetry recorder adds timing and outcome metadata for each step without copying prompt text, retrieved text or tool values.</w:t>
            </w:r>
          </w:p>
        </w:tc>
      </w:tr>
    </w:tbl>
    <w:p>
      <w:pPr>
        <w:pStyle w:val="Heading1"/>
        <w:numPr>
          <w:ilvl w:val="0"/>
          <w:numId w:val="2"/>
        </w:numPr>
        <w:spacing w:before="320" w:after="140"/>
        <w:rPr/>
      </w:pPr>
      <w:bookmarkStart w:id="11" w:name="_Toc239366268"/>
      <w:bookmarkStart w:id="12" w:name="_Toc239365243"/>
      <w:r>
        <w:rPr>
          <w:bCs/>
          <w:szCs w:val="27"/>
        </w:rPr>
        <w:t>System context</w:t>
      </w:r>
      <w:bookmarkEnd w:id="11"/>
      <w:bookmarkEnd w:id="12"/>
    </w:p>
    <w:p>
      <w:pPr>
        <w:pStyle w:val="Normal"/>
        <w:spacing w:lineRule="auto" w:line="276" w:before="0" w:after="120"/>
        <w:rPr/>
      </w:pPr>
      <w:r>
        <w:rPr/>
        <w:t xml:space="preserve">One primary user, one system in scope, and four external parties at different trust levels.</w:t>
      </w:r>
    </w:p>
    <w:p>
      <w:pPr>
        <w:pStyle w:val="Normal"/>
        <w:keepNext/>
        <w:spacing w:before="160" w:after="60"/>
        <w:jc w:val="center"/>
        <w:rPr/>
      </w:pPr>
      <w:r>
        <w:rPr/>
        <w:drawing>
          <wp:inline distT="0" distB="0" distL="0" distR="0">
            <wp:extent cx="6188710" cy="349504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rcRect l="0" t="6096" r="0" b="0"/>
                    <a:stretch>
                      <a:fillRect/>
                    </a:stretch>
                  </pic:blipFill>
                  <pic:spPr bwMode="auto">
                    <a:xfrm>
                      <a:off x="0" y="0"/>
                      <a:ext cx="6188710" cy="3495040"/>
                    </a:xfrm>
                    <a:prstGeom prst="rect">
                      <a:avLst/>
                    </a:prstGeom>
                  </pic:spPr>
                </pic:pic>
              </a:graphicData>
            </a:graphic>
          </wp:inline>
        </w:drawing>
      </w:r>
    </w:p>
    <w:p>
      <w:pPr>
        <w:pStyle w:val="Caption"/>
        <w:spacing w:lineRule="auto" w:line="240"/>
        <w:rPr>
          <w:b/>
          <w:i w:val="false"/>
          <w:i w:val="false"/>
          <w:color w:val="000000"/>
          <w:sz w:val="24"/>
        </w:rPr>
      </w:pPr>
      <w:bookmarkStart w:id="13" w:name="_Toc239370987"/>
      <w:bookmarkStart w:id="14" w:name="_Toc239365261"/>
      <w:r>
        <w:rPr/>
        <w:t xml:space="preserve">Figure </w:t>
      </w:r>
      <w:r>
        <w:rPr/>
        <w:t>3</w:t>
      </w:r>
      <w:r>
        <w:rPr/>
        <w:t>.</w:t>
      </w:r>
      <w:r>
        <w:rPr/>
        <w:fldChar w:fldCharType="begin"/>
      </w:r>
      <w:r>
        <w:rPr/>
        <w:instrText xml:space="preserve"> SEQ Figure \r 1 \* ARABIC </w:instrText>
      </w:r>
      <w:r>
        <w:rPr/>
        <w:fldChar w:fldCharType="separate"/>
      </w:r>
      <w:r>
        <w:rPr/>
        <w:t>1</w:t>
      </w:r>
      <w:r>
        <w:rPr/>
        <w:fldChar w:fldCharType="end"/>
      </w:r>
      <w:r>
        <w:rPr/>
        <w:t xml:space="preserve">: System Context and Human-Decision Boundaries. Amber marks the test subprocess, which runs only after approval and is not isolated.</w:t>
      </w:r>
      <w:bookmarkEnd w:id="13"/>
      <w:bookmarkEnd w:id="14"/>
    </w:p>
    <w:p>
      <w:pPr>
        <w:pStyle w:val="Caption"/>
        <w:keepNext/>
        <w:spacing w:lineRule="auto" w:line="240"/>
        <w:rPr/>
      </w:pPr>
      <w:bookmarkStart w:id="15" w:name="_Toc239366282"/>
      <w:bookmarkStart w:id="16" w:name="_Toc239365264"/>
      <w:r>
        <w:rPr/>
        <w:t xml:space="preserve">Table </w:t>
      </w:r>
      <w:r>
        <w:rPr/>
        <w:t>3</w:t>
      </w:r>
      <w:r>
        <w:rPr/>
        <w:t>.</w:t>
      </w:r>
      <w:r>
        <w:rPr/>
        <w:fldChar w:fldCharType="begin"/>
      </w:r>
      <w:r>
        <w:rPr/>
        <w:instrText xml:space="preserve"> SEQ Table \r 1 \* ARABIC </w:instrText>
      </w:r>
      <w:r>
        <w:rPr/>
        <w:fldChar w:fldCharType="separate"/>
      </w:r>
      <w:r>
        <w:rPr/>
        <w:t>1</w:t>
      </w:r>
      <w:r>
        <w:rPr/>
        <w:fldChar w:fldCharType="end"/>
      </w:r>
      <w:r>
        <w:rPr/>
        <w:t>: Primary Actor and Responsibilities</w:t>
      </w:r>
      <w:bookmarkEnd w:id="15"/>
      <w:bookmarkEnd w:id="16"/>
    </w:p>
    <w:tbl>
      <w:tblPr>
        <w:tblStyle w:val="TableGrid"/>
        <w:tblW w:w="97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97"/>
        <w:gridCol w:w="7242"/>
      </w:tblGrid>
      <w:tr>
        <w:trPr>
          <w:tblHeader w:val="true"/>
        </w:trPr>
        <w:tc>
          <w:tcPr>
            <w:tcW w:w="2497" w:type="dxa"/>
            <w:tcBorders/>
            <w:vAlign w:val="center"/>
          </w:tcPr>
          <w:p>
            <w:pPr>
              <w:pStyle w:val="Normal"/>
              <w:widowControl/>
              <w:spacing w:lineRule="auto" w:line="240" w:before="0" w:after="0"/>
              <w:jc w:val="left"/>
              <w:rPr>
                <w:b/>
                <w:sz w:val="20"/>
              </w:rPr>
            </w:pPr>
            <w:r>
              <w:rPr>
                <w:rFonts w:eastAsia="Calibri"/>
                <w:b/>
                <w:kern w:val="0"/>
                <w:sz w:val="20"/>
                <w:szCs w:val="21"/>
                <w:lang w:val="en-US" w:eastAsia="en-US" w:bidi="ar-SA"/>
              </w:rPr>
              <w:t>Actor</w:t>
            </w:r>
          </w:p>
        </w:tc>
        <w:tc>
          <w:tcPr>
            <w:tcW w:w="7242" w:type="dxa"/>
            <w:tcBorders/>
            <w:vAlign w:val="center"/>
          </w:tcPr>
          <w:p>
            <w:pPr>
              <w:pStyle w:val="Normal"/>
              <w:widowControl/>
              <w:spacing w:lineRule="auto" w:line="240" w:before="0" w:after="0"/>
              <w:jc w:val="left"/>
              <w:rPr>
                <w:b/>
                <w:sz w:val="20"/>
              </w:rPr>
            </w:pPr>
            <w:r>
              <w:rPr>
                <w:rFonts w:eastAsia="Calibri"/>
                <w:b/>
                <w:kern w:val="0"/>
                <w:sz w:val="20"/>
                <w:szCs w:val="21"/>
                <w:lang w:val="en-US" w:eastAsia="en-US" w:bidi="ar-SA"/>
              </w:rPr>
              <w:t>Responsibility</w:t>
            </w:r>
          </w:p>
        </w:tc>
      </w:tr>
      <w:tr>
        <w:trPr/>
        <w:tc>
          <w:tcPr>
            <w:tcW w:w="2497"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QA engineer</w:t>
            </w:r>
          </w:p>
        </w:tc>
        <w:tc>
          <w:tcPr>
            <w:tcW w:w="7242"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Starts a session through the Python interfaces or command-line scripts. Approves or rejects each run_tests and draft_issue request at the human approval gate; a pending request pauses the session and is never approved by timeout. Reviews the in-memory issue draft and, if appropriate, posts it outside the system. The only human role in scope; no reviewer or administrator persona is modelled.</w:t>
            </w:r>
          </w:p>
        </w:tc>
      </w:tr>
    </w:tbl>
    <w:p>
      <w:pPr>
        <w:pStyle w:val="Heading2"/>
        <w:numPr>
          <w:ilvl w:val="1"/>
          <w:numId w:val="2"/>
        </w:numPr>
        <w:spacing w:before="240" w:after="100"/>
        <w:rPr/>
      </w:pPr>
      <w:bookmarkStart w:id="17" w:name="_Toc239366269"/>
      <w:bookmarkStart w:id="18" w:name="_Toc239365245"/>
      <w:r>
        <w:rPr>
          <w:bCs/>
          <w:szCs w:val="22"/>
        </w:rPr>
        <w:t>External systems</w:t>
      </w:r>
      <w:bookmarkEnd w:id="17"/>
      <w:bookmarkEnd w:id="18"/>
    </w:p>
    <w:p>
      <w:pPr>
        <w:pStyle w:val="Caption"/>
        <w:keepNext/>
        <w:spacing w:lineRule="auto" w:line="240"/>
        <w:rPr/>
      </w:pPr>
      <w:bookmarkStart w:id="19" w:name="_Toc239366283"/>
      <w:bookmarkStart w:id="20" w:name="_Toc239365265"/>
      <w:r>
        <w:rPr/>
        <w:t xml:space="preserve">Table </w:t>
      </w:r>
      <w:r>
        <w:rPr/>
        <w:t>3</w:t>
      </w:r>
      <w:r>
        <w:rPr/>
        <w:t>.</w:t>
      </w:r>
      <w:r>
        <w:rPr/>
        <w:fldChar w:fldCharType="begin"/>
      </w:r>
      <w:r>
        <w:rPr/>
        <w:instrText xml:space="preserve"> SEQ Table \r 2 \* ARABIC </w:instrText>
      </w:r>
      <w:r>
        <w:rPr/>
        <w:fldChar w:fldCharType="separate"/>
      </w:r>
      <w:r>
        <w:rPr/>
        <w:t>2</w:t>
      </w:r>
      <w:r>
        <w:rPr/>
        <w:fldChar w:fldCharType="end"/>
      </w:r>
      <w:r>
        <w:rPr/>
        <w:t>: External Systems, Trust Levels and Interface Contracts</w:t>
      </w:r>
      <w:bookmarkEnd w:id="19"/>
      <w:bookmarkEnd w:id="20"/>
    </w:p>
    <w:tbl>
      <w:tblPr>
        <w:tblStyle w:val="TableGrid"/>
        <w:tblW w:w="97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84"/>
        <w:gridCol w:w="1770"/>
        <w:gridCol w:w="5786"/>
      </w:tblGrid>
      <w:tr>
        <w:trPr>
          <w:tblHeader w:val="true"/>
        </w:trPr>
        <w:tc>
          <w:tcPr>
            <w:tcW w:w="2184" w:type="dxa"/>
            <w:tcBorders/>
            <w:vAlign w:val="center"/>
          </w:tcPr>
          <w:p>
            <w:pPr>
              <w:pStyle w:val="Normal"/>
              <w:widowControl/>
              <w:spacing w:lineRule="auto" w:line="240" w:before="0" w:after="0"/>
              <w:jc w:val="left"/>
              <w:rPr>
                <w:b/>
                <w:sz w:val="20"/>
              </w:rPr>
            </w:pPr>
            <w:r>
              <w:rPr>
                <w:rFonts w:eastAsia="Calibri"/>
                <w:b/>
                <w:kern w:val="0"/>
                <w:sz w:val="20"/>
                <w:szCs w:val="21"/>
                <w:lang w:val="en-US" w:eastAsia="en-US" w:bidi="ar-SA"/>
              </w:rPr>
              <w:t>System</w:t>
            </w:r>
          </w:p>
        </w:tc>
        <w:tc>
          <w:tcPr>
            <w:tcW w:w="1770" w:type="dxa"/>
            <w:tcBorders/>
            <w:vAlign w:val="center"/>
          </w:tcPr>
          <w:p>
            <w:pPr>
              <w:pStyle w:val="Normal"/>
              <w:widowControl/>
              <w:spacing w:lineRule="auto" w:line="240" w:before="0" w:after="0"/>
              <w:jc w:val="left"/>
              <w:rPr>
                <w:b/>
                <w:sz w:val="20"/>
              </w:rPr>
            </w:pPr>
            <w:r>
              <w:rPr>
                <w:rFonts w:eastAsia="Calibri"/>
                <w:b/>
                <w:kern w:val="0"/>
                <w:sz w:val="20"/>
                <w:szCs w:val="21"/>
                <w:lang w:val="en-US" w:eastAsia="en-US" w:bidi="ar-SA"/>
              </w:rPr>
              <w:t>Trust level</w:t>
            </w:r>
          </w:p>
        </w:tc>
        <w:tc>
          <w:tcPr>
            <w:tcW w:w="5786" w:type="dxa"/>
            <w:tcBorders/>
            <w:vAlign w:val="center"/>
          </w:tcPr>
          <w:p>
            <w:pPr>
              <w:pStyle w:val="Normal"/>
              <w:widowControl/>
              <w:spacing w:lineRule="auto" w:line="240" w:before="0" w:after="0"/>
              <w:jc w:val="left"/>
              <w:rPr>
                <w:b/>
                <w:sz w:val="20"/>
              </w:rPr>
            </w:pPr>
            <w:r>
              <w:rPr>
                <w:rFonts w:eastAsia="Calibri"/>
                <w:b/>
                <w:kern w:val="0"/>
                <w:sz w:val="20"/>
                <w:szCs w:val="21"/>
                <w:lang w:val="en-US" w:eastAsia="en-US" w:bidi="ar-SA"/>
              </w:rPr>
              <w:t>Contract</w:t>
            </w:r>
          </w:p>
        </w:tc>
      </w:tr>
      <w:tr>
        <w:trPr/>
        <w:tc>
          <w:tcPr>
            <w:tcW w:w="2184"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LLM provider API</w:t>
            </w:r>
          </w:p>
        </w:tc>
        <w:tc>
          <w:tcPr>
            <w:tcW w:w="1770"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Untrusted output</w:t>
            </w:r>
          </w:p>
        </w:tc>
        <w:tc>
          <w:tcPr>
            <w:tcW w:w="5786"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Called over HTTPS by the configured model client, for live calls only; tests and scenario runs use scripted responses. Receives the versioned propose_action prompt (v1.3) and the assembled context. Returns a structured ProposalSet that is parsed and citation-checked; nothing it returns reaches a tool without validation by the dispatcher.</w:t>
            </w:r>
          </w:p>
        </w:tc>
      </w:tr>
      <w:tr>
        <w:trPr/>
        <w:tc>
          <w:tcPr>
            <w:tcW w:w="2184"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Repository and corpus</w:t>
            </w:r>
          </w:p>
        </w:tc>
        <w:tc>
          <w:tcPr>
            <w:tcW w:w="1770"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Read only, untrusted text</w:t>
            </w:r>
          </w:p>
        </w:tc>
        <w:tc>
          <w:tcPr>
            <w:tcW w:w="5786"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Local, provenance-tagged corpus (requirements, documentation, logs, source and tests) read by retrieval, search_repo and read_file. Also the prompt-injection surface: the context builder redacts credential patterns and neutralises reserved delimiters, and injection or credential flags are recorded in the run trace for human review.</w:t>
            </w:r>
          </w:p>
        </w:tc>
      </w:tr>
      <w:tr>
        <w:trPr/>
        <w:tc>
          <w:tcPr>
            <w:tcW w:w="2184"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Test subprocess</w:t>
            </w:r>
          </w:p>
        </w:tc>
        <w:tc>
          <w:tcPr>
            <w:tcW w:w="1770"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Untrusted execution</w:t>
            </w:r>
          </w:p>
        </w:tc>
        <w:tc>
          <w:tcPr>
            <w:tcW w:w="5786"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Runs one allow-listed, existing pytest node in a subprocess with a stripped environment and a hard timeout, only after human approval. It is not a disposable container: test code keeps the process's filesystem permissions and network access, so only reviewed, trusted tests should be run.</w:t>
            </w:r>
          </w:p>
        </w:tc>
      </w:tr>
      <w:tr>
        <w:trPr/>
        <w:tc>
          <w:tcPr>
            <w:tcW w:w="2184"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GitHub</w:t>
            </w:r>
          </w:p>
        </w:tc>
        <w:tc>
          <w:tcPr>
            <w:tcW w:w="1770"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Outside the system</w:t>
            </w:r>
          </w:p>
        </w:tc>
        <w:tc>
          <w:tcPr>
            <w:tcW w:w="5786"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No GitHub API client or token is included. draft_issue stores an approved issue draft in memory; the QA engineer reviews it and posts it manually.</w:t>
            </w:r>
          </w:p>
        </w:tc>
      </w:tr>
    </w:tbl>
    <w:p>
      <w:pPr>
        <w:pStyle w:val="Heading1"/>
        <w:numPr>
          <w:ilvl w:val="0"/>
          <w:numId w:val="2"/>
        </w:numPr>
        <w:spacing w:before="320" w:after="140"/>
        <w:rPr/>
      </w:pPr>
      <w:bookmarkStart w:id="21" w:name="_Toc239366271"/>
      <w:bookmarkStart w:id="22" w:name="_Toc239365247"/>
      <w:r>
        <w:rPr>
          <w:bCs/>
          <w:szCs w:val="27"/>
        </w:rPr>
        <w:t>Container view and trust zones</w:t>
      </w:r>
      <w:bookmarkEnd w:id="21"/>
      <w:bookmarkEnd w:id="22"/>
    </w:p>
    <w:p>
      <w:pPr>
        <w:pStyle w:val="Normal"/>
        <w:spacing w:lineRule="auto" w:line="276" w:before="0" w:after="120"/>
        <w:rPr/>
      </w:pPr>
      <w:r>
        <w:rPr/>
        <w:t>The container diagram is organised by trust boundary rather than by component type. This is deliberate: the boundaries are what the design has to defend, and they stay correct when the technology stack changes.</w:t>
      </w:r>
    </w:p>
    <w:p>
      <w:pPr>
        <w:pStyle w:val="Normal"/>
        <w:keepNext/>
        <w:spacing w:before="160" w:after="60"/>
        <w:jc w:val="center"/>
        <w:rPr/>
      </w:pPr>
      <w:r>
        <w:rPr/>
        <w:drawing>
          <wp:inline distT="0" distB="0" distL="0" distR="0">
            <wp:extent cx="6188710" cy="4206549"/>
            <wp:effectExtent l="0" t="0" r="0" b="0"/>
            <wp:docPr id="3" name="Image2" descr="Container view of the QA agent across five trust zones, as implemented for the Week 8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6188710" cy="4206549"/>
                    </a:xfrm>
                    <a:prstGeom prst="rect">
                      <a:avLst/>
                    </a:prstGeom>
                  </pic:spPr>
                </pic:pic>
              </a:graphicData>
            </a:graphic>
          </wp:inline>
        </w:drawing>
      </w:r>
    </w:p>
    <w:p>
      <w:pPr>
        <w:pStyle w:val="Caption"/>
        <w:spacing w:lineRule="auto" w:line="240"/>
        <w:rPr>
          <w:b/>
          <w:i w:val="false"/>
          <w:i w:val="false"/>
          <w:color w:val="000000"/>
          <w:sz w:val="24"/>
        </w:rPr>
      </w:pPr>
      <w:bookmarkStart w:id="23" w:name="_Toc239370988"/>
      <w:bookmarkStart w:id="24" w:name="_Toc239365262"/>
      <w:r>
        <w:rPr/>
        <w:t xml:space="preserve">Figure </w:t>
      </w:r>
      <w:r>
        <w:rPr/>
        <w:t>4</w:t>
      </w:r>
      <w:r>
        <w:rPr/>
        <w:t>.</w:t>
      </w:r>
      <w:r>
        <w:rPr/>
        <w:fldChar w:fldCharType="begin"/>
      </w:r>
      <w:r>
        <w:rPr/>
        <w:instrText xml:space="preserve"> SEQ Figure \r 1 \* ARABIC </w:instrText>
      </w:r>
      <w:r>
        <w:rPr/>
        <w:fldChar w:fldCharType="separate"/>
      </w:r>
      <w:r>
        <w:rPr/>
        <w:t>1</w:t>
      </w:r>
      <w:r>
        <w:rPr/>
        <w:fldChar w:fldCharType="end"/>
      </w:r>
      <w:r>
        <w:rPr/>
        <w:t xml:space="preserve">: Container View across Five Trust Zones. Amber marks the approval gate and the zones that rely on a human decision or have limited isolation.</w:t>
      </w:r>
      <w:bookmarkStart w:id="25" w:name="_Toc239365248"/>
      <w:bookmarkEnd w:id="24"/>
      <w:bookmarkEnd w:id="23"/>
      <w:bookmarkEnd w:id="25"/>
    </w:p>
    <w:p>
      <w:pPr>
        <w:pStyle w:val="Caption"/>
        <w:keepNext/>
        <w:spacing w:lineRule="auto" w:line="240"/>
        <w:rPr/>
      </w:pPr>
      <w:bookmarkStart w:id="26" w:name="_Toc239366285"/>
      <w:bookmarkStart w:id="27" w:name="_Toc239365267"/>
      <w:r>
        <w:rPr/>
        <w:t xml:space="preserve">Table </w:t>
      </w:r>
      <w:r>
        <w:rPr/>
        <w:t>4</w:t>
      </w:r>
      <w:r>
        <w:rPr/>
        <w:t>.</w:t>
      </w:r>
      <w:r>
        <w:rPr/>
        <w:fldChar w:fldCharType="begin"/>
      </w:r>
      <w:r>
        <w:rPr/>
        <w:instrText xml:space="preserve"> SEQ Table \r 1 \* ARABIC </w:instrText>
      </w:r>
      <w:r>
        <w:rPr/>
        <w:fldChar w:fldCharType="separate"/>
      </w:r>
      <w:r>
        <w:rPr/>
        <w:t>1</w:t>
      </w:r>
      <w:r>
        <w:rPr/>
        <w:fldChar w:fldCharType="end"/>
      </w:r>
      <w:r>
        <w:rPr/>
        <w:t>: Trust Zones and Boundary Semantics</w:t>
      </w:r>
      <w:bookmarkEnd w:id="26"/>
      <w:bookmarkEnd w:id="27"/>
    </w:p>
    <w:tbl>
      <w:tblPr>
        <w:tblStyle w:val="TableGrid"/>
        <w:tblW w:w="97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01"/>
        <w:gridCol w:w="2289"/>
        <w:gridCol w:w="6150"/>
      </w:tblGrid>
      <w:tr>
        <w:trPr>
          <w:tblHeader w:val="true"/>
        </w:trPr>
        <w:tc>
          <w:tcPr>
            <w:tcW w:w="1301" w:type="dxa"/>
            <w:tcBorders/>
            <w:vAlign w:val="center"/>
          </w:tcPr>
          <w:p>
            <w:pPr>
              <w:pStyle w:val="Normal"/>
              <w:widowControl/>
              <w:spacing w:lineRule="auto" w:line="240" w:before="0" w:after="0"/>
              <w:jc w:val="left"/>
              <w:rPr>
                <w:b/>
                <w:sz w:val="20"/>
              </w:rPr>
            </w:pPr>
            <w:r>
              <w:rPr>
                <w:rFonts w:eastAsia="Calibri"/>
                <w:b/>
                <w:kern w:val="0"/>
                <w:sz w:val="20"/>
                <w:szCs w:val="21"/>
                <w:lang w:val="en-US" w:eastAsia="en-US" w:bidi="ar-SA"/>
              </w:rPr>
              <w:t>Zone</w:t>
            </w:r>
          </w:p>
        </w:tc>
        <w:tc>
          <w:tcPr>
            <w:tcW w:w="2289" w:type="dxa"/>
            <w:tcBorders/>
            <w:vAlign w:val="center"/>
          </w:tcPr>
          <w:p>
            <w:pPr>
              <w:pStyle w:val="Normal"/>
              <w:widowControl/>
              <w:spacing w:lineRule="auto" w:line="240" w:before="0" w:after="0"/>
              <w:jc w:val="left"/>
              <w:rPr>
                <w:b/>
                <w:sz w:val="20"/>
              </w:rPr>
            </w:pPr>
            <w:r>
              <w:rPr>
                <w:rFonts w:eastAsia="Calibri"/>
                <w:b/>
                <w:kern w:val="0"/>
                <w:sz w:val="20"/>
                <w:szCs w:val="21"/>
                <w:lang w:val="en-US" w:eastAsia="en-US" w:bidi="ar-SA"/>
              </w:rPr>
              <w:t>Name</w:t>
            </w:r>
          </w:p>
        </w:tc>
        <w:tc>
          <w:tcPr>
            <w:tcW w:w="6150" w:type="dxa"/>
            <w:tcBorders/>
            <w:vAlign w:val="center"/>
          </w:tcPr>
          <w:p>
            <w:pPr>
              <w:pStyle w:val="Normal"/>
              <w:widowControl/>
              <w:spacing w:lineRule="auto" w:line="240" w:before="0" w:after="0"/>
              <w:jc w:val="left"/>
              <w:rPr>
                <w:b/>
                <w:sz w:val="20"/>
              </w:rPr>
            </w:pPr>
            <w:r>
              <w:rPr>
                <w:rFonts w:eastAsia="Calibri"/>
                <w:b/>
                <w:kern w:val="0"/>
                <w:sz w:val="20"/>
                <w:szCs w:val="21"/>
                <w:lang w:val="en-US" w:eastAsia="en-US" w:bidi="ar-SA"/>
              </w:rPr>
              <w:t>What the boundary means</w:t>
            </w:r>
          </w:p>
        </w:tc>
      </w:tr>
      <w:tr>
        <w:trPr/>
        <w:tc>
          <w:tcPr>
            <w:tcW w:w="1301"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A</w:t>
            </w:r>
          </w:p>
        </w:tc>
        <w:tc>
          <w:tcPr>
            <w:tcW w:w="2289"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 xml:space="preserve">Caller</w:t>
            </w:r>
          </w:p>
        </w:tc>
        <w:tc>
          <w:tcPr>
            <w:tcW w:w="6150"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 xml:space="preserve">Python interfaces and command-line scripts start a session and record approval decisions. A session enters through the task adapter, which validates the task contract and the declared tools. No web interface is included.</w:t>
            </w:r>
          </w:p>
        </w:tc>
      </w:tr>
      <w:tr>
        <w:trPr/>
        <w:tc>
          <w:tcPr>
            <w:tcW w:w="1301"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B</w:t>
            </w:r>
          </w:p>
        </w:tc>
        <w:tc>
          <w:tcPr>
            <w:tcW w:w="2289"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 xml:space="preserve">Application</w:t>
            </w:r>
          </w:p>
        </w:tc>
        <w:tc>
          <w:tcPr>
            <w:tcW w:w="6150"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 xml:space="preserve">Trusted and deterministic. Every control that must not be an LLM decision lives here: the fixed tool registry, role and argument validation, citation checks, the approval gate, stop conditions, retrieval safeguards, memory and the run log.</w:t>
            </w:r>
          </w:p>
        </w:tc>
      </w:tr>
      <w:tr>
        <w:trPr/>
        <w:tc>
          <w:tcPr>
            <w:tcW w:w="1301"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C</w:t>
            </w:r>
          </w:p>
        </w:tc>
        <w:tc>
          <w:tcPr>
            <w:tcW w:w="2289"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 xml:space="preserve">Agent runtime</w:t>
            </w:r>
          </w:p>
        </w:tc>
        <w:tc>
          <w:tcPr>
            <w:tcW w:w="6150"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 xml:space="preserve">The AgentLoop and the model client. The model's output is parsed as a ProposalSet and treated as untrusted. The loop runs a bounded sense, plan, validate, act and observe cycle, dispatches at most one action per turn, and takes its iteration and time limits from the task contract.</w:t>
            </w:r>
          </w:p>
        </w:tc>
      </w:tr>
      <w:tr>
        <w:trPr/>
        <w:tc>
          <w:tcPr>
            <w:tcW w:w="1301"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D</w:t>
            </w:r>
          </w:p>
        </w:tc>
        <w:tc>
          <w:tcPr>
            <w:tcW w:w="2289"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 xml:space="preserve">Test subprocess</w:t>
            </w:r>
          </w:p>
        </w:tc>
        <w:tc>
          <w:tcPr>
            <w:tcW w:w="6150"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 xml:space="preserve">Untrusted execution with limited controls. Each allow-listed, existing pytest node runs in its own subprocess with a stripped environment and a hard timeout. Test code keeps the process's filesystem permissions and network access, so only reviewed, trusted tests are run.</w:t>
            </w:r>
          </w:p>
        </w:tc>
      </w:tr>
      <w:tr>
        <w:trPr/>
        <w:tc>
          <w:tcPr>
            <w:tcW w:w="1301"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E</w:t>
            </w:r>
          </w:p>
        </w:tc>
        <w:tc>
          <w:tcPr>
            <w:tcW w:w="2289"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 xml:space="preserve">Human handoff</w:t>
            </w:r>
          </w:p>
        </w:tc>
        <w:tc>
          <w:tcPr>
            <w:tcW w:w="6150" w:type="dxa"/>
            <w:tcBorders/>
            <w:vAlign w:val="center"/>
          </w:tcPr>
          <w:p>
            <w:pPr>
              <w:pStyle w:val="Normal"/>
              <w:widowControl/>
              <w:spacing w:lineRule="auto" w:line="240" w:before="0" w:after="0"/>
              <w:jc w:val="left"/>
              <w:rPr>
                <w:sz w:val="20"/>
              </w:rPr>
            </w:pPr>
            <w:r>
              <w:rPr>
                <w:rFonts w:eastAsia="Calibri"/>
                <w:kern w:val="0"/>
                <w:sz w:val="20"/>
                <w:szCs w:val="21"/>
                <w:lang w:val="en-US" w:eastAsia="en-US" w:bidi="ar-SA"/>
              </w:rPr>
              <w:t xml:space="preserve">Outside the application. draft_issue keeps an approved issue draft in memory; a person reviews it and posts it to GitHub. The repository contains no GitHub client or posting token.</w:t>
            </w:r>
          </w:p>
        </w:tc>
      </w:tr>
    </w:tbl>
    <w:p>
      <w:pPr>
        <w:pStyle w:val="Heading1"/>
        <w:numPr>
          <w:ilvl w:val="0"/>
          <w:numId w:val="2"/>
        </w:numPr>
        <w:spacing w:before="320" w:after="140"/>
        <w:rPr/>
      </w:pPr>
      <w:bookmarkStart w:id="28" w:name="_Toc239366277"/>
      <w:bookmarkStart w:id="29" w:name="_Toc239365254"/>
      <w:r>
        <w:rPr>
          <w:bCs/>
          <w:szCs w:val="27"/>
        </w:rPr>
        <w:t>Deliberately out of scope</w:t>
      </w:r>
      <w:bookmarkEnd w:id="28"/>
      <w:bookmarkEnd w:id="29"/>
    </w:p>
    <w:p>
      <w:pPr>
        <w:pStyle w:val="Normal"/>
        <w:keepNext/>
        <w:spacing w:lineRule="auto" w:line="276" w:before="0" w:after="120"/>
        <w:rPr/>
      </w:pPr>
      <w:r>
        <w:rPr/>
        <w:t>Recorded here so scope creep has to be an explicit decision rather than a drift.</w:t>
      </w:r>
    </w:p>
    <w:p>
      <w:pPr>
        <w:pStyle w:val="ListParagraph"/>
        <w:numPr>
          <w:ilvl w:val="0"/>
          <w:numId w:val="4"/>
        </w:numPr>
        <w:spacing w:lineRule="auto" w:line="276"/>
        <w:rPr/>
      </w:pPr>
      <w:r>
        <w:rPr/>
        <w:t>Patch or fix generation. The system diagnoses and drafts; it does not propose code changes.</w:t>
      </w:r>
    </w:p>
    <w:p>
      <w:pPr>
        <w:pStyle w:val="ListParagraph"/>
        <w:numPr>
          <w:ilvl w:val="0"/>
          <w:numId w:val="1"/>
        </w:numPr>
        <w:spacing w:lineRule="auto" w:line="276"/>
        <w:rPr/>
      </w:pPr>
      <w:r>
        <w:rPr/>
        <w:t>Automatic execution of agent-written tests.</w:t>
      </w:r>
    </w:p>
    <w:p>
      <w:pPr>
        <w:pStyle w:val="ListParagraph"/>
        <w:numPr>
          <w:ilvl w:val="0"/>
          <w:numId w:val="1"/>
        </w:numPr>
        <w:spacing w:lineRule="auto" w:line="276"/>
        <w:rPr/>
      </w:pPr>
      <w:r>
        <w:rPr/>
        <w:t>Free-form shell access. Only test node IDs drawn from a manifest.</w:t>
      </w:r>
    </w:p>
    <w:p>
      <w:pPr>
        <w:pStyle w:val="ListParagraph"/>
        <w:numPr>
          <w:ilvl w:val="0"/>
          <w:numId w:val="1"/>
        </w:numPr>
        <w:spacing w:lineRule="auto" w:line="276"/>
        <w:rPr/>
      </w:pPr>
      <w:r>
        <w:rPr/>
        <w:t>Any second target repository, and any second user persona.</w:t>
      </w:r>
    </w:p>
    <w:p>
      <w:pPr>
        <w:pStyle w:val="ListParagraph"/>
        <w:numPr>
          <w:ilvl w:val="0"/>
          <w:numId w:val="1"/>
        </w:numPr>
        <w:spacing w:lineRule="auto" w:line="276"/>
        <w:rPr/>
      </w:pPr>
      <w:r>
        <w:rPr/>
        <w:t xml:space="preserve">Filesystem and network isolation for the test subprocess. This is a known limitation of the release, so only reviewed, trusted tests are run.</w:t>
      </w:r>
    </w:p>
    <w:p>
      <w:pPr>
        <w:pStyle w:val="ListParagraph"/>
        <w:numPr>
          <w:ilvl w:val="0"/>
          <w:numId w:val="1"/>
        </w:numPr>
        <w:spacing w:lineRule="auto" w:line="276"/>
        <w:rPr/>
      </w:pPr>
      <w:r>
        <w:rPr/>
        <w:t xml:space="preserve">A web interface, and automated posting to GitHub. Sessions start from Python interfaces or scripts, and a person posts approved issue drafts.</w:t>
      </w:r>
    </w:p>
    <w:p>
      <w:pPr>
        <w:pStyle w:val="ListParagraph"/>
        <w:numPr>
          <w:ilvl w:val="0"/>
          <w:numId w:val="1"/>
        </w:numPr>
        <w:spacing w:lineRule="auto" w:line="276"/>
        <w:rPr/>
      </w:pPr>
      <w:r>
        <w:rPr/>
        <w:t>Automatic merge, deployment or release of any kind.</w:t>
      </w:r>
    </w:p>
    <w:p>
      <w:pPr>
        <w:pStyle w:val="ListParagraph"/>
        <w:numPr>
          <w:ilvl w:val="0"/>
          <w:numId w:val="1"/>
        </w:numPr>
        <w:spacing w:lineRule="auto" w:line="276" w:before="0" w:after="160"/>
        <w:rPr/>
      </w:pPr>
      <w:r>
        <w:rPr/>
        <w:t>Training or fine-tuning a model.</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Aptos">
    <w:charset w:val="01"/>
    <w:family w:val="roman"/>
    <w:pitch w:val="variable"/>
  </w:font>
  <w:font w:name="Symbol">
    <w:charset w:val="02"/>
    <w:family w:val="auto"/>
    <w:pitch w:val="default"/>
  </w:font>
  <w:font w:name="OpenSymbol">
    <w:altName w:val="Arial Unicode MS"/>
    <w:charset w:val="01"/>
    <w:family w:val="auto"/>
    <w:pitch w:val="default"/>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sz w:val="18"/>
      </w:rPr>
    </w:pPr>
    <w:r>
      <w:rPr>
        <w:sz w:val="18"/>
        <w:szCs w:val="16"/>
      </w:rPr>
      <w:t xml:space="preserve">page </w:t>
    </w:r>
    <w:r>
      <w:rPr>
        <w:sz w:val="18"/>
        <w:szCs w:val="16"/>
      </w:rPr>
      <w:fldChar w:fldCharType="begin"/>
    </w:r>
    <w:r>
      <w:rPr>
        <w:sz w:val="18"/>
        <w:szCs w:val="16"/>
      </w:rPr>
      <w:instrText xml:space="preserve"> PAGE </w:instrText>
    </w:r>
    <w:r>
      <w:rPr>
        <w:sz w:val="18"/>
        <w:szCs w:val="16"/>
      </w:rPr>
      <w:fldChar w:fldCharType="separate"/>
    </w:r>
    <w:r>
      <w:rPr>
        <w:sz w:val="18"/>
        <w:szCs w:val="16"/>
      </w:rPr>
      <w:t>6</w:t>
    </w:r>
    <w:r>
      <w:rPr>
        <w:sz w:val="18"/>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sz w:val="18"/>
      </w:rPr>
    </w:pPr>
    <w:r>
      <w:rPr>
        <w:sz w:val="18"/>
        <w:szCs w:val="16"/>
      </w:rPr>
      <w:t xml:space="preserve">page </w:t>
    </w:r>
    <w:r>
      <w:rPr>
        <w:sz w:val="18"/>
        <w:szCs w:val="16"/>
      </w:rPr>
      <w:fldChar w:fldCharType="begin"/>
    </w:r>
    <w:r>
      <w:rPr>
        <w:sz w:val="18"/>
        <w:szCs w:val="16"/>
      </w:rPr>
      <w:instrText xml:space="preserve"> PAGE </w:instrText>
    </w:r>
    <w:r>
      <w:rPr>
        <w:sz w:val="18"/>
        <w:szCs w:val="16"/>
      </w:rPr>
      <w:fldChar w:fldCharType="separate"/>
    </w:r>
    <w:r>
      <w:rPr>
        <w:sz w:val="18"/>
        <w:szCs w:val="16"/>
      </w:rPr>
      <w:t>6</w:t>
    </w:r>
    <w:r>
      <w:rPr>
        <w:sz w:val="18"/>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rPr>
    </w:lvl>
    <w:lvl w:ilvl="1">
      <w:start w:val="1"/>
      <w:numFmt w:val="bullet"/>
      <w:lvlText w:val="◦"/>
      <w:lvlJc w:val="left"/>
      <w:pPr>
        <w:tabs>
          <w:tab w:val="num" w:pos="0"/>
        </w:tabs>
        <w:ind w:left="720" w:hanging="260"/>
      </w:pPr>
      <w:rPr>
        <w:rFonts w:ascii="OpenSymbol" w:hAnsi="OpenSymbol" w:cs="OpenSymbol" w:hint="default"/>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decimal"/>
      <w:suff w:val="space"/>
      <w:lvlText w:val="%1."/>
      <w:lvlJc w:val="left"/>
      <w:pPr>
        <w:tabs>
          <w:tab w:val="num" w:pos="0"/>
        </w:tabs>
        <w:ind w:left="0" w:hanging="0"/>
      </w:pPr>
      <w:rPr/>
    </w:lvl>
    <w:lvl w:ilvl="1">
      <w:start w:val="1"/>
      <w:numFmt w:val="decimal"/>
      <w:suff w:val="space"/>
      <w:lvlText w:val="%1.%2."/>
      <w:lvlJc w:val="left"/>
      <w:pPr>
        <w:tabs>
          <w:tab w:val="num" w:pos="0"/>
        </w:tabs>
        <w:ind w:left="0" w:hanging="0"/>
      </w:pPr>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6181D"/>
        <w:sz w:val="21"/>
        <w:szCs w:val="21"/>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tLeast" w:line="276" w:before="0" w:after="160"/>
      <w:jc w:val="both"/>
    </w:pPr>
    <w:rPr>
      <w:rFonts w:ascii="Times New Roman" w:hAnsi="Times New Roman" w:cs="Times New Roman" w:eastAsia="Calibri"/>
      <w:color w:val="000000"/>
      <w:kern w:val="0"/>
      <w:sz w:val="24"/>
      <w:szCs w:val="21"/>
      <w:lang w:val="en-US" w:eastAsia="en-US" w:bidi="ar-SA"/>
    </w:rPr>
  </w:style>
  <w:style w:type="paragraph" w:styleId="Heading1">
    <w:name w:val="Heading 1"/>
    <w:uiPriority w:val="9"/>
    <w:qFormat/>
    <w:pPr>
      <w:keepNext/>
      <w:widowControl/>
      <w:bidi w:val="0"/>
      <w:spacing w:lineRule="atLeast" w:line="276" w:before="0" w:after="160"/>
      <w:jc w:val="both"/>
      <w:outlineLvl w:val="0"/>
    </w:pPr>
    <w:rPr>
      <w:rFonts w:ascii="Times New Roman" w:hAnsi="Times New Roman" w:cs="Times New Roman" w:eastAsia="Calibri"/>
      <w:b/>
      <w:color w:val="000000"/>
      <w:kern w:val="0"/>
      <w:sz w:val="24"/>
      <w:szCs w:val="32"/>
      <w:lang w:val="en-US" w:eastAsia="en-US" w:bidi="ar-SA"/>
    </w:rPr>
  </w:style>
  <w:style w:type="paragraph" w:styleId="Heading2">
    <w:name w:val="Heading 2"/>
    <w:uiPriority w:val="9"/>
    <w:unhideWhenUsed/>
    <w:qFormat/>
    <w:pPr>
      <w:keepNext/>
      <w:widowControl/>
      <w:bidi w:val="0"/>
      <w:spacing w:lineRule="atLeast" w:line="276" w:before="0" w:after="160"/>
      <w:jc w:val="both"/>
      <w:outlineLvl w:val="1"/>
    </w:pPr>
    <w:rPr>
      <w:rFonts w:ascii="Times New Roman" w:hAnsi="Times New Roman" w:cs="Times New Roman" w:eastAsia="Calibri"/>
      <w:b/>
      <w:color w:val="000000"/>
      <w:kern w:val="0"/>
      <w:sz w:val="24"/>
      <w:szCs w:val="26"/>
      <w:lang w:val="en-US" w:eastAsia="en-US" w:bidi="ar-SA"/>
    </w:rPr>
  </w:style>
  <w:style w:type="paragraph" w:styleId="Heading3">
    <w:name w:val="Heading 3"/>
    <w:uiPriority w:val="9"/>
    <w:semiHidden/>
    <w:unhideWhenUsed/>
    <w:qFormat/>
    <w:pPr>
      <w:widowControl/>
      <w:bidi w:val="0"/>
      <w:spacing w:before="0" w:after="0"/>
      <w:jc w:val="left"/>
      <w:outlineLvl w:val="2"/>
    </w:pPr>
    <w:rPr>
      <w:rFonts w:ascii="Calibri" w:hAnsi="Calibri" w:eastAsia="Calibri" w:cs="Calibri"/>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left"/>
      <w:outlineLvl w:val="3"/>
    </w:pPr>
    <w:rPr>
      <w:rFonts w:ascii="Calibri" w:hAnsi="Calibri" w:eastAsia="Calibri" w:cs="Calibri"/>
      <w:i/>
      <w:iCs/>
      <w:color w:val="2E74B5"/>
      <w:kern w:val="0"/>
      <w:sz w:val="21"/>
      <w:szCs w:val="21"/>
      <w:lang w:val="en-US" w:eastAsia="en-US" w:bidi="ar-SA"/>
    </w:rPr>
  </w:style>
  <w:style w:type="paragraph" w:styleId="Heading5">
    <w:name w:val="Heading 5"/>
    <w:uiPriority w:val="9"/>
    <w:semiHidden/>
    <w:unhideWhenUsed/>
    <w:qFormat/>
    <w:pPr>
      <w:widowControl/>
      <w:bidi w:val="0"/>
      <w:spacing w:before="0" w:after="0"/>
      <w:jc w:val="left"/>
      <w:outlineLvl w:val="4"/>
    </w:pPr>
    <w:rPr>
      <w:rFonts w:ascii="Calibri" w:hAnsi="Calibri" w:eastAsia="Calibri" w:cs="Calibri"/>
      <w:color w:val="2E74B5"/>
      <w:kern w:val="0"/>
      <w:sz w:val="21"/>
      <w:szCs w:val="21"/>
      <w:lang w:val="en-US" w:eastAsia="en-US" w:bidi="ar-SA"/>
    </w:rPr>
  </w:style>
  <w:style w:type="paragraph" w:styleId="Heading6">
    <w:name w:val="Heading 6"/>
    <w:uiPriority w:val="9"/>
    <w:semiHidden/>
    <w:unhideWhenUsed/>
    <w:qFormat/>
    <w:pPr>
      <w:widowControl/>
      <w:bidi w:val="0"/>
      <w:spacing w:before="0" w:after="0"/>
      <w:jc w:val="left"/>
      <w:outlineLvl w:val="5"/>
    </w:pPr>
    <w:rPr>
      <w:rFonts w:ascii="Calibri" w:hAnsi="Calibri" w:eastAsia="Calibri" w:cs="Calibri"/>
      <w:color w:val="1F4D78"/>
      <w:kern w:val="0"/>
      <w:sz w:val="21"/>
      <w:szCs w:val="21"/>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197f2e"/>
    <w:rPr/>
  </w:style>
  <w:style w:type="character" w:styleId="FooterChar" w:customStyle="1">
    <w:name w:val="Footer Char"/>
    <w:basedOn w:val="DefaultParagraphFont"/>
    <w:link w:val="Footer"/>
    <w:uiPriority w:val="99"/>
    <w:qFormat/>
    <w:rsid w:val="00197f2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851266"/>
    <w:pPr>
      <w:spacing w:lineRule="atLeast" w:line="240" w:before="0" w:after="200"/>
      <w:jc w:val="center"/>
    </w:pPr>
    <w:rPr>
      <w:i/>
      <w:iCs/>
      <w:color w:val="0E2841"/>
      <w:sz w:val="18"/>
      <w:szCs w:val="18"/>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left"/>
    </w:pPr>
    <w:rPr>
      <w:rFonts w:ascii="Calibri" w:hAnsi="Calibri" w:eastAsia="Calibri" w:cs="Calibri"/>
      <w:color w:val="16181D"/>
      <w:kern w:val="0"/>
      <w:sz w:val="56"/>
      <w:szCs w:val="56"/>
      <w:lang w:val="en-US" w:eastAsia="en-US" w:bidi="ar-SA"/>
    </w:rPr>
  </w:style>
  <w:style w:type="paragraph" w:styleId="Strong1" w:customStyle="1">
    <w:name w:val="Strong1"/>
    <w:qFormat/>
    <w:pPr>
      <w:widowControl/>
      <w:bidi w:val="0"/>
      <w:spacing w:before="0" w:after="0"/>
      <w:jc w:val="left"/>
    </w:pPr>
    <w:rPr>
      <w:rFonts w:ascii="Calibri" w:hAnsi="Calibri" w:eastAsia="Calibri" w:cs="Calibri"/>
      <w:b/>
      <w:bCs/>
      <w:color w:val="16181D"/>
      <w:kern w:val="0"/>
      <w:sz w:val="21"/>
      <w:szCs w:val="21"/>
      <w:lang w:val="en-US" w:eastAsia="en-US" w:bidi="ar-SA"/>
    </w:rPr>
  </w:style>
  <w:style w:type="paragraph" w:styleId="ListParagraph">
    <w:name w:val="List Paragraph"/>
    <w:qFormat/>
    <w:pPr>
      <w:widowControl/>
      <w:bidi w:val="0"/>
      <w:spacing w:lineRule="atLeast" w:line="276" w:before="0" w:after="160"/>
      <w:jc w:val="both"/>
    </w:pPr>
    <w:rPr>
      <w:rFonts w:ascii="Times New Roman" w:hAnsi="Times New Roman" w:cs="Times New Roman" w:eastAsia="Calibri"/>
      <w:color w:val="000000"/>
      <w:kern w:val="0"/>
      <w:sz w:val="24"/>
      <w:szCs w:val="21"/>
      <w:lang w:val="en-US" w:eastAsia="en-US" w:bidi="ar-SA"/>
    </w:rPr>
  </w:style>
  <w:style w:type="paragraph" w:styleId="FootnoteText">
    <w:name w:val="Footnote Text"/>
    <w:link w:val="FootnoteTextChar"/>
    <w:uiPriority w:val="99"/>
    <w:semiHidden/>
    <w:unhideWhenUsed/>
    <w:pPr>
      <w:widowControl/>
      <w:bidi w:val="0"/>
      <w:spacing w:before="0" w:after="0"/>
      <w:jc w:val="left"/>
    </w:pPr>
    <w:rPr>
      <w:rFonts w:ascii="Calibri" w:hAnsi="Calibri" w:eastAsia="Calibri" w:cs="Calibri"/>
      <w:color w:val="16181D"/>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left"/>
    </w:pPr>
    <w:rPr>
      <w:rFonts w:ascii="Calibri" w:hAnsi="Calibri" w:eastAsia="Calibri" w:cs="Calibri"/>
      <w:color w:val="16181D"/>
      <w:kern w:val="0"/>
      <w:sz w:val="20"/>
      <w:szCs w:val="20"/>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197f2e"/>
    <w:pPr>
      <w:tabs>
        <w:tab w:val="clear" w:pos="720"/>
        <w:tab w:val="center" w:pos="4680" w:leader="none"/>
        <w:tab w:val="right" w:pos="9360" w:leader="none"/>
      </w:tabs>
    </w:pPr>
    <w:rPr/>
  </w:style>
  <w:style w:type="paragraph" w:styleId="Footer">
    <w:name w:val="Footer"/>
    <w:basedOn w:val="Normal"/>
    <w:link w:val="FooterChar"/>
    <w:uiPriority w:val="99"/>
    <w:unhideWhenUsed/>
    <w:rsid w:val="00197f2e"/>
    <w:pPr>
      <w:tabs>
        <w:tab w:val="clear" w:pos="720"/>
        <w:tab w:val="center" w:pos="4680" w:leader="none"/>
        <w:tab w:val="right" w:pos="9360" w:leader="none"/>
      </w:tabs>
    </w:pPr>
    <w:rPr/>
  </w:style>
  <w:style w:type="paragraph" w:styleId="TOC1">
    <w:name w:val="TOC 1"/>
    <w:basedOn w:val="Normal"/>
    <w:next w:val="Normal"/>
    <w:autoRedefine/>
    <w:uiPriority w:val="39"/>
    <w:unhideWhenUsed/>
    <w:rsid w:val="00851266"/>
    <w:pPr>
      <w:spacing w:before="0" w:after="100"/>
    </w:pPr>
    <w:rPr>
      <w:b/>
    </w:rPr>
  </w:style>
  <w:style w:type="paragraph" w:styleId="TOC2">
    <w:name w:val="TOC 2"/>
    <w:basedOn w:val="Normal"/>
    <w:next w:val="Normal"/>
    <w:autoRedefine/>
    <w:uiPriority w:val="39"/>
    <w:unhideWhenUsed/>
    <w:rsid w:val="00851266"/>
    <w:pPr>
      <w:spacing w:before="0" w:after="100"/>
      <w:ind w:left="240"/>
    </w:pPr>
    <w:rPr/>
  </w:style>
  <w:style w:type="paragraph" w:styleId="TableofFigures">
    <w:name w:val="Table of Figures"/>
    <w:basedOn w:val="Normal"/>
    <w:next w:val="Normal"/>
    <w:uiPriority w:val="99"/>
    <w:unhideWhenUsed/>
    <w:rsid w:val="00851266"/>
    <w:pPr>
      <w:spacing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5126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TotalTime>
  <Application>LibreOffice/24.2.7.2$Linux_X86_64 LibreOffice_project/420$Build-2</Application>
  <AppVersion>15.0000</AppVersion>
  <Pages>6</Pages>
  <Words>1007</Words>
  <Characters>5665</Characters>
  <CharactersWithSpaces>6539</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2026-09-03T15:44:00Z</dcterms:created>
  <dc:creator>Akanga Andrew</dc:creator>
  <dc:description>BSE4104 Week 1 architecture deliverable</dc:description>
  <dc:language>en-US</dc:language>
  <cp:lastModifiedBy/>
  <dcterms:modified xsi:type="dcterms:W3CDTF">2026-09-07T19:50:17Z</dcterms:modified>
  <cp:revision>11</cp:revision>
  <dc:subject/>
  <dc:title>Software-Engineering QA Agent — System Architecture and Integration Specification</dc:title>
</cp:coreProperties>
</file>

<file path=docProps/custom.xml><?xml version="1.0" encoding="utf-8"?>
<Properties xmlns="http://schemas.openxmlformats.org/officeDocument/2006/custom-properties" xmlns:vt="http://schemas.openxmlformats.org/officeDocument/2006/docPropsVTypes"/>
</file>