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08815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943600" cy="1088154"/>
                    </a:xfrm>
                    <a:prstGeom prst="rect"/>
                  </pic:spPr>
                </pic:pic>
              </a:graphicData>
            </a:graphic>
          </wp:inline>
        </w:drawing>
      </w:r>
    </w:p>
    <w:p>
      <w:pPr>
        <w:jc w:val="center"/>
      </w:pPr>
      <w:r>
        <w:rPr>
          <w:rFonts w:ascii="Times New Roman" w:hAnsi="Times New Roman" w:cs="Times New Roman"/>
          <w:b w:val="0"/>
          <w:sz w:val="24"/>
          <w:u w:val="none"/>
        </w:rPr>
        <w:t>COLLEGE OF COMPUTING AND INFORMATION SCIENCES</w:t>
      </w:r>
    </w:p>
    <w:p>
      <w:pPr>
        <w:jc w:val="center"/>
      </w:pPr>
      <w:r>
        <w:rPr>
          <w:rFonts w:ascii="Times New Roman" w:hAnsi="Times New Roman" w:cs="Times New Roman"/>
          <w:b w:val="0"/>
          <w:sz w:val="24"/>
          <w:u w:val="none"/>
        </w:rPr>
        <w:t>SCHOOL OF COMPUTING AND INFORMATICS TECHNOLOGY</w:t>
      </w:r>
    </w:p>
    <w:p>
      <w:pPr>
        <w:jc w:val="center"/>
      </w:pPr>
      <w:r>
        <w:rPr>
          <w:rFonts w:ascii="Times New Roman" w:hAnsi="Times New Roman" w:cs="Times New Roman"/>
          <w:b w:val="0"/>
          <w:sz w:val="24"/>
          <w:u w:val="none"/>
        </w:rPr>
        <w:t>DEPARTMENT OF NETWORKS</w:t>
      </w:r>
    </w:p>
    <w:p>
      <w:pPr>
        <w:jc w:val="center"/>
      </w:pPr>
    </w:p>
    <w:p>
      <w:pPr>
        <w:jc w:val="center"/>
      </w:pPr>
      <w:r>
        <w:rPr>
          <w:rFonts w:ascii="Times New Roman" w:hAnsi="Times New Roman" w:cs="Times New Roman"/>
          <w:b w:val="0"/>
          <w:sz w:val="24"/>
          <w:u w:val="none"/>
        </w:rPr>
        <w:t>BSE4104</w:t>
      </w:r>
      <w:r>
        <w:rPr>
          <w:rFonts w:ascii="Times New Roman" w:hAnsi="Times New Roman" w:cs="Times New Roman"/>
          <w:b w:val="0"/>
          <w:sz w:val="24"/>
          <w:u w:val="none"/>
        </w:rPr>
        <w:t>: Emerging Trends in Software Engineering</w:t>
      </w:r>
      <w:r>
        <w:br/>
      </w:r>
      <w:r>
        <w:rPr>
          <w:rFonts w:ascii="Times New Roman" w:hAnsi="Times New Roman" w:cs="Times New Roman"/>
          <w:b w:val="0"/>
          <w:sz w:val="24"/>
          <w:u w:val="none"/>
        </w:rPr>
        <w:t>AI-Native and Agentic Engineering Capstone</w:t>
      </w:r>
    </w:p>
    <w:p>
      <w:pPr>
        <w:jc w:val="center"/>
      </w:pPr>
      <w:r>
        <w:rPr>
          <w:rFonts w:ascii="Times New Roman" w:hAnsi="Times New Roman" w:cs="Times New Roman"/>
          <w:b/>
          <w:sz w:val="24"/>
          <w:u w:val="single"/>
        </w:rPr>
        <w:t>Project: Software-Engineering QA Agent</w:t>
      </w:r>
    </w:p>
    <w:p>
      <w:pPr>
        <w:jc w:val="center"/>
      </w:pPr>
    </w:p>
    <w:p>
      <w:pPr>
        <w:jc w:val="center"/>
      </w:pPr>
      <w:r>
        <w:rPr>
          <w:rFonts w:ascii="Times New Roman" w:hAnsi="Times New Roman" w:cs="Times New Roman"/>
          <w:b/>
          <w:sz w:val="24"/>
          <w:u w:val="none"/>
        </w:rPr>
        <w:t>MEMBER 1: WEEK 4 CONTRIBUTION REPORT</w:t>
      </w:r>
    </w:p>
    <w:p>
      <w:pPr>
        <w:jc w:val="center"/>
      </w:pPr>
      <w:r>
        <w:rPr>
          <w:rFonts w:ascii="Times New Roman" w:hAnsi="Times New Roman" w:cs="Times New Roman"/>
          <w:b/>
          <w:sz w:val="24"/>
          <w:u w:val="none"/>
        </w:rPr>
        <w:t>Tool-Schema Audit and Citation Validation</w:t>
      </w:r>
    </w:p>
    <w:p>
      <w:pPr>
        <w:jc w:val="center"/>
      </w:pPr>
      <w:r>
        <w:rPr>
          <w:rFonts w:ascii="Times New Roman" w:hAnsi="Times New Roman" w:cs="Times New Roman"/>
          <w:b w:val="0"/>
          <w:sz w:val="24"/>
          <w:u w:val="none"/>
        </w:rPr>
        <w:t>Reporting Period: 21 - 25 September 2026</w:t>
      </w:r>
    </w:p>
    <w:p>
      <w:pPr>
        <w:jc w:val="center"/>
      </w:pPr>
    </w:p>
    <w:p>
      <w:pPr>
        <w:jc w:val="center"/>
      </w:pPr>
      <w:r>
        <w:rPr>
          <w:rFonts w:ascii="Times New Roman" w:hAnsi="Times New Roman" w:cs="Times New Roman"/>
          <w:b w:val="0"/>
          <w:sz w:val="24"/>
          <w:u w:val="none"/>
        </w:rPr>
        <w:t>Group: J</w:t>
      </w:r>
    </w:p>
    <w:p>
      <w:pPr>
        <w:jc w:val="center"/>
      </w:pPr>
      <w:r>
        <w:rPr>
          <w:rFonts w:ascii="Times New Roman" w:hAnsi="Times New Roman" w:cs="Times New Roman"/>
          <w:b w:val="0"/>
          <w:sz w:val="24"/>
          <w:u w:val="none"/>
        </w:rPr>
        <w:t>Prepared by: Amabe Junior Humphrey (Member 1, Project/Requirements Lead)</w:t>
      </w:r>
    </w:p>
    <w:p>
      <w:pPr>
        <w:jc w:val="center"/>
      </w:pPr>
    </w:p>
    <w:p>
      <w:pPr>
        <w:jc w:val="center"/>
      </w:pP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sz w:val="24"/>
                <w:u w:val="none"/>
              </w:rPr>
              <w:t>NAME</w:t>
            </w:r>
          </w:p>
        </w:tc>
        <w:tc>
          <w:tcPr>
            <w:tcW w:type="dxa" w:w="3120"/>
          </w:tcPr>
          <w:p>
            <w:pPr>
              <w:jc w:val="center"/>
            </w:pPr>
            <w:r/>
            <w:r>
              <w:rPr>
                <w:rFonts w:ascii="Times New Roman" w:hAnsi="Times New Roman" w:cs="Times New Roman"/>
                <w:b/>
                <w:sz w:val="24"/>
                <w:u w:val="none"/>
              </w:rPr>
              <w:t>STUDENT NUMBER</w:t>
            </w:r>
          </w:p>
        </w:tc>
        <w:tc>
          <w:tcPr>
            <w:tcW w:type="dxa" w:w="3120"/>
          </w:tcPr>
          <w:p>
            <w:pPr>
              <w:jc w:val="center"/>
            </w:pPr>
            <w:r/>
            <w:r>
              <w:rPr>
                <w:rFonts w:ascii="Times New Roman" w:hAnsi="Times New Roman" w:cs="Times New Roman"/>
                <w:b/>
                <w:sz w:val="24"/>
                <w:u w:val="none"/>
              </w:rPr>
              <w:t>REGISTRATION NUMBER</w:t>
            </w:r>
          </w:p>
        </w:tc>
      </w:tr>
      <w:tr>
        <w:tc>
          <w:tcPr>
            <w:tcW w:type="dxa" w:w="3120"/>
          </w:tcPr>
          <w:p>
            <w:pPr>
              <w:jc w:val="center"/>
            </w:pPr>
            <w:r/>
            <w:r>
              <w:rPr>
                <w:rFonts w:ascii="Times New Roman" w:hAnsi="Times New Roman" w:cs="Times New Roman"/>
                <w:b w:val="0"/>
                <w:sz w:val="24"/>
                <w:u w:val="none"/>
              </w:rPr>
              <w:t>Karagwa Ann Treasure</w:t>
            </w:r>
          </w:p>
        </w:tc>
        <w:tc>
          <w:tcPr>
            <w:tcW w:type="dxa" w:w="3120"/>
          </w:tcPr>
          <w:p>
            <w:pPr>
              <w:jc w:val="center"/>
            </w:pPr>
            <w:r/>
            <w:r>
              <w:rPr>
                <w:rFonts w:ascii="Times New Roman" w:hAnsi="Times New Roman" w:cs="Times New Roman"/>
                <w:b w:val="0"/>
                <w:sz w:val="24"/>
                <w:u w:val="none"/>
              </w:rPr>
              <w:t>2300709034</w:t>
            </w:r>
          </w:p>
        </w:tc>
        <w:tc>
          <w:tcPr>
            <w:tcW w:type="dxa" w:w="3120"/>
          </w:tcPr>
          <w:p>
            <w:pPr>
              <w:jc w:val="center"/>
            </w:pPr>
            <w:r/>
            <w:r>
              <w:rPr>
                <w:rFonts w:ascii="Times New Roman" w:hAnsi="Times New Roman" w:cs="Times New Roman"/>
                <w:b w:val="0"/>
                <w:sz w:val="24"/>
                <w:u w:val="none"/>
              </w:rPr>
              <w:t>23/U/09034/PS</w:t>
            </w:r>
          </w:p>
        </w:tc>
      </w:tr>
      <w:tr>
        <w:tc>
          <w:tcPr>
            <w:tcW w:type="dxa" w:w="3120"/>
          </w:tcPr>
          <w:p>
            <w:pPr>
              <w:jc w:val="center"/>
            </w:pPr>
            <w:r/>
            <w:r>
              <w:rPr>
                <w:rFonts w:ascii="Times New Roman" w:hAnsi="Times New Roman" w:cs="Times New Roman"/>
                <w:b w:val="0"/>
                <w:sz w:val="24"/>
                <w:u w:val="none"/>
              </w:rPr>
              <w:t>Ayan Mustafa Abdirahman</w:t>
            </w:r>
          </w:p>
        </w:tc>
        <w:tc>
          <w:tcPr>
            <w:tcW w:type="dxa" w:w="3120"/>
          </w:tcPr>
          <w:p>
            <w:pPr>
              <w:jc w:val="center"/>
            </w:pPr>
            <w:r/>
            <w:r>
              <w:rPr>
                <w:rFonts w:ascii="Times New Roman" w:hAnsi="Times New Roman" w:cs="Times New Roman"/>
                <w:b w:val="0"/>
                <w:sz w:val="24"/>
                <w:u w:val="none"/>
              </w:rPr>
              <w:t>2300722948</w:t>
            </w:r>
          </w:p>
        </w:tc>
        <w:tc>
          <w:tcPr>
            <w:tcW w:type="dxa" w:w="3120"/>
          </w:tcPr>
          <w:p>
            <w:pPr>
              <w:jc w:val="center"/>
            </w:pPr>
            <w:r/>
            <w:r>
              <w:rPr>
                <w:rFonts w:ascii="Times New Roman" w:hAnsi="Times New Roman" w:cs="Times New Roman"/>
                <w:b w:val="0"/>
                <w:sz w:val="24"/>
                <w:u w:val="none"/>
              </w:rPr>
              <w:t>23/X/22948/EVE</w:t>
            </w:r>
          </w:p>
        </w:tc>
      </w:tr>
      <w:tr>
        <w:tc>
          <w:tcPr>
            <w:tcW w:type="dxa" w:w="3120"/>
          </w:tcPr>
          <w:p>
            <w:pPr>
              <w:jc w:val="center"/>
            </w:pPr>
            <w:r/>
            <w:r>
              <w:rPr>
                <w:rFonts w:ascii="Times New Roman" w:hAnsi="Times New Roman" w:cs="Times New Roman"/>
                <w:b w:val="0"/>
                <w:sz w:val="24"/>
                <w:u w:val="none"/>
              </w:rPr>
              <w:t>Wanyana Selina Masembe</w:t>
            </w:r>
          </w:p>
        </w:tc>
        <w:tc>
          <w:tcPr>
            <w:tcW w:type="dxa" w:w="3120"/>
          </w:tcPr>
          <w:p>
            <w:pPr>
              <w:jc w:val="center"/>
            </w:pPr>
            <w:r/>
            <w:r>
              <w:rPr>
                <w:rFonts w:ascii="Times New Roman" w:hAnsi="Times New Roman" w:cs="Times New Roman"/>
                <w:b w:val="0"/>
                <w:sz w:val="24"/>
                <w:u w:val="none"/>
              </w:rPr>
              <w:t>2300701529</w:t>
            </w:r>
          </w:p>
        </w:tc>
        <w:tc>
          <w:tcPr>
            <w:tcW w:type="dxa" w:w="3120"/>
          </w:tcPr>
          <w:p>
            <w:pPr>
              <w:jc w:val="center"/>
            </w:pPr>
            <w:r/>
            <w:r>
              <w:rPr>
                <w:rFonts w:ascii="Times New Roman" w:hAnsi="Times New Roman" w:cs="Times New Roman"/>
                <w:b w:val="0"/>
                <w:sz w:val="24"/>
                <w:u w:val="none"/>
              </w:rPr>
              <w:t>23/U/1529</w:t>
            </w:r>
          </w:p>
        </w:tc>
      </w:tr>
      <w:tr>
        <w:tc>
          <w:tcPr>
            <w:tcW w:type="dxa" w:w="3120"/>
          </w:tcPr>
          <w:p>
            <w:pPr>
              <w:jc w:val="center"/>
            </w:pPr>
            <w:r/>
            <w:r>
              <w:rPr>
                <w:rFonts w:ascii="Times New Roman" w:hAnsi="Times New Roman" w:cs="Times New Roman"/>
                <w:b w:val="0"/>
                <w:sz w:val="24"/>
                <w:u w:val="none"/>
              </w:rPr>
              <w:t>Amabe Junior Humphrey</w:t>
            </w:r>
          </w:p>
        </w:tc>
        <w:tc>
          <w:tcPr>
            <w:tcW w:type="dxa" w:w="3120"/>
          </w:tcPr>
          <w:p>
            <w:pPr>
              <w:jc w:val="center"/>
            </w:pPr>
            <w:r/>
            <w:r>
              <w:rPr>
                <w:rFonts w:ascii="Times New Roman" w:hAnsi="Times New Roman" w:cs="Times New Roman"/>
                <w:b w:val="0"/>
                <w:sz w:val="24"/>
                <w:u w:val="none"/>
              </w:rPr>
              <w:t>2300705942</w:t>
            </w:r>
          </w:p>
        </w:tc>
        <w:tc>
          <w:tcPr>
            <w:tcW w:type="dxa" w:w="3120"/>
          </w:tcPr>
          <w:p>
            <w:pPr>
              <w:jc w:val="center"/>
            </w:pPr>
            <w:r/>
            <w:r>
              <w:rPr>
                <w:rFonts w:ascii="Times New Roman" w:hAnsi="Times New Roman" w:cs="Times New Roman"/>
                <w:b w:val="0"/>
                <w:sz w:val="24"/>
                <w:u w:val="none"/>
              </w:rPr>
              <w:t>23/U/05942/PS</w:t>
            </w:r>
          </w:p>
        </w:tc>
      </w:tr>
      <w:tr>
        <w:tc>
          <w:tcPr>
            <w:tcW w:type="dxa" w:w="3120"/>
          </w:tcPr>
          <w:p>
            <w:pPr>
              <w:jc w:val="center"/>
            </w:pPr>
            <w:r/>
            <w:r>
              <w:rPr>
                <w:rFonts w:ascii="Times New Roman" w:hAnsi="Times New Roman" w:cs="Times New Roman"/>
                <w:b w:val="0"/>
                <w:sz w:val="24"/>
                <w:u w:val="none"/>
              </w:rPr>
              <w:t>Akanga Andrew</w:t>
            </w:r>
          </w:p>
        </w:tc>
        <w:tc>
          <w:tcPr>
            <w:tcW w:type="dxa" w:w="3120"/>
          </w:tcPr>
          <w:p>
            <w:pPr>
              <w:jc w:val="center"/>
            </w:pPr>
            <w:r/>
            <w:r>
              <w:rPr>
                <w:rFonts w:ascii="Times New Roman" w:hAnsi="Times New Roman" w:cs="Times New Roman"/>
                <w:b w:val="0"/>
                <w:sz w:val="24"/>
                <w:u w:val="none"/>
              </w:rPr>
              <w:t>2300705555</w:t>
            </w:r>
          </w:p>
        </w:tc>
        <w:tc>
          <w:tcPr>
            <w:tcW w:type="dxa" w:w="3120"/>
          </w:tcPr>
          <w:p>
            <w:pPr>
              <w:jc w:val="center"/>
            </w:pPr>
            <w:r/>
            <w:r>
              <w:rPr>
                <w:rFonts w:ascii="Times New Roman" w:hAnsi="Times New Roman" w:cs="Times New Roman"/>
                <w:b w:val="0"/>
                <w:sz w:val="24"/>
                <w:u w:val="none"/>
              </w:rPr>
              <w:t>23/U/05555/PS</w:t>
            </w:r>
          </w:p>
        </w:tc>
      </w:tr>
    </w:tbl>
    <w:p>
      <w:r>
        <w:br w:type="page"/>
      </w:r>
    </w:p>
    <w:p>
      <w:pPr>
        <w:spacing w:before="360" w:after="160"/>
        <w:jc w:val="both"/>
        <w:pBdr>
          <w:bottom w:val="single" w:sz="6" w:space="4" w:color="2E5395"/>
        </w:pBdr>
      </w:pPr>
      <w:r>
        <w:rPr>
          <w:rFonts w:ascii="Times New Roman" w:hAnsi="Times New Roman" w:cs="Times New Roman"/>
          <w:b/>
          <w:sz w:val="24"/>
          <w:u w:val="none"/>
        </w:rPr>
        <w:t>1. Task Overview</w:t>
      </w:r>
    </w:p>
    <w:p>
      <w:pPr>
        <w:jc w:val="both"/>
      </w:pPr>
      <w:r>
        <w:rPr>
          <w:rFonts w:ascii="Times New Roman" w:hAnsi="Times New Roman" w:cs="Times New Roman"/>
          <w:b w:val="0"/>
          <w:sz w:val="24"/>
          <w:u w:val="none"/>
        </w:rPr>
        <w:t>This report documents the Week 4 deliverables assigned to the Project/Requirements Lead role under the team's Task Allocation Plan: checking that the tool-related user stories match the actual tool schemas, and writing the code that automatically rejects a proposal missing a required citation. The associated deliverables are updated acceptance criteria and src/orchestration/validation.py. This work responds directly to an open item recorded in Member 2's (Application/Integration Lead) Week 4 report: "Member 1: confirm citation validation occurs before dispatch()."</w:t>
      </w:r>
    </w:p>
    <w:p>
      <w:pPr>
        <w:jc w:val="both"/>
      </w:pPr>
      <w:r>
        <w:rPr>
          <w:rFonts w:ascii="Times New Roman" w:hAnsi="Times New Roman" w:cs="Times New Roman"/>
          <w:b w:val="0"/>
          <w:sz w:val="24"/>
          <w:u w:val="none"/>
        </w:rPr>
        <w:t>The task sheet names the code deliverable src/orchestrator/validation.py. The repository has no src/orchestrator/ folder; the module that owns tool dispatch is src/orchestration/, built by Member 2 in Week 4. This is the same kind of task-sheet versus repository discrepancy already resolved in Week 3 for the knowledge/ folder, and it was resolved the same way: the file was placed inside the folder that actually exists and is actually used, rather than creating a second, unused one.</w:t>
      </w:r>
    </w:p>
    <w:p>
      <w:pPr>
        <w:jc w:val="both"/>
      </w:pPr>
      <w:r>
        <w:rPr>
          <w:rFonts w:ascii="Times New Roman" w:hAnsi="Times New Roman" w:cs="Times New Roman"/>
          <w:b w:val="0"/>
          <w:sz w:val="24"/>
          <w:u w:val="none"/>
        </w:rPr>
        <w:t>Both deliverables have been completed, committed to the repository on the tool-related-user-stories-match-with-actual-tool-schemas branch, and verified with unit tests, the full existing dispatcher test suite, and a standalone demonstration script.</w:t>
      </w:r>
    </w:p>
    <w:p>
      <w:pPr>
        <w:spacing w:before="360" w:after="160"/>
        <w:jc w:val="both"/>
        <w:pBdr>
          <w:bottom w:val="single" w:sz="6" w:space="4" w:color="2E5395"/>
        </w:pBdr>
      </w:pPr>
      <w:r>
        <w:rPr>
          <w:rFonts w:ascii="Times New Roman" w:hAnsi="Times New Roman" w:cs="Times New Roman"/>
          <w:b/>
          <w:sz w:val="24"/>
          <w:u w:val="none"/>
        </w:rPr>
        <w:t>2. Methodology</w:t>
      </w:r>
    </w:p>
    <w:p>
      <w:pPr>
        <w:jc w:val="both"/>
      </w:pPr>
      <w:r>
        <w:rPr>
          <w:rFonts w:ascii="Times New Roman" w:hAnsi="Times New Roman" w:cs="Times New Roman"/>
          <w:b w:val="0"/>
          <w:sz w:val="24"/>
          <w:u w:val="none"/>
        </w:rPr>
        <w:t>The audit half of the task required a ground truth for what the four tools (search_repo, read_file, run_tests, draft_issue) actually are, since no single document defines them completely. Three sources were checked against each other and against the twelve user stories: src/models/types.py's Action enum and src/orchestration/tool_dispatcher.py's TOOL_ACTIONS, the code-level list of dispatchable tools; docs/architecture/Member3_AIEngineering_Deliverables.docx, which contains the draft input, output and authorization schema for each tool, written ahead of Week 4 implementation and explicitly labelled a starting point rather than a final interface; and docs/integration/Week4_Member2_ToolCallingOrchestration.docx, which records what the dispatcher itself does and does not check, and which handoffs it expects from other members.</w:t>
      </w:r>
    </w:p>
    <w:p>
      <w:pPr>
        <w:jc w:val="both"/>
      </w:pPr>
      <w:r>
        <w:rPr>
          <w:rFonts w:ascii="Times New Roman" w:hAnsi="Times New Roman" w:cs="Times New Roman"/>
          <w:b w:val="0"/>
          <w:sz w:val="24"/>
          <w:u w:val="none"/>
        </w:rPr>
        <w:t>Of the twelve user stories, eight are tool-related (US-1, US-2, US-3, US-4, US-5, US-6, US-8 and US-11); US-9 and US-10 concern the agent loop and the trace log rather than a specific tool's schema, and US-7 and US-12 are not schema-dependent at all. All eight tool-related stories were checked individually against the schema and the dispatcher's actual behaviour, not assumed to already agree.</w:t>
      </w:r>
    </w:p>
    <w:p>
      <w:pPr>
        <w:spacing w:before="360" w:after="160"/>
        <w:jc w:val="both"/>
        <w:pBdr>
          <w:bottom w:val="single" w:sz="6" w:space="4" w:color="2E5395"/>
        </w:pBdr>
      </w:pPr>
      <w:r>
        <w:rPr>
          <w:rFonts w:ascii="Times New Roman" w:hAnsi="Times New Roman" w:cs="Times New Roman"/>
          <w:b/>
          <w:sz w:val="24"/>
          <w:u w:val="none"/>
        </w:rPr>
        <w:t>3. Audit Findings</w:t>
      </w:r>
    </w:p>
    <w:p>
      <w:pPr>
        <w:jc w:val="both"/>
      </w:pPr>
      <w:r>
        <w:rPr>
          <w:rFonts w:ascii="Times New Roman" w:hAnsi="Times New Roman" w:cs="Times New Roman"/>
          <w:b w:val="0"/>
          <w:sz w:val="24"/>
          <w:u w:val="none"/>
        </w:rPr>
        <w:t>Seven of the eight tool-related stories were confirmed to match: US-3 and US-4 against the run_tests schema's approval and sandbox conditions, US-5 against run_tests's stdout and stderr output, US-6 against draft_issue's draft-only output, and US-11 against the fact that TOOL_ACTIONS contains only the four named tools, so a request to merge, deploy or run an arbitrary command cannot even parse into a known action. US-1 and US-2 are not schema-specific and were unaffected.</w:t>
      </w:r>
    </w:p>
    <w:p>
      <w:pPr>
        <w:jc w:val="both"/>
      </w:pPr>
      <w:r>
        <w:rPr>
          <w:rFonts w:ascii="Times New Roman" w:hAnsi="Times New Roman" w:cs="Times New Roman"/>
          <w:b w:val="0"/>
          <w:sz w:val="24"/>
          <w:u w:val="none"/>
        </w:rPr>
        <w:t>One story did not match as written. US-8's acceptance criteria state that "every proposed test" must include a traceable reference, and that a proposal without one is rejected automatically. This wording scopes the requirement to propose_test outputs only, which is narrower than what the actual system requires. The propose_action v1.1 prompt specification requires an evidence field on every response, regardless of which of the six actions is chosen, and Member 2's Week 4 report is explicit that citation validation is a boundary check that must happen before any dispatch, not a check limited to test proposals. Before this week, the code enforcing the citation rule (TestProposal.validate_sources, written in Week 2) was scoped to TestProposal specifically, so a search_repo, read_file, run_tests or draft_issue proposal with a fabricated or missing citation was no more blocked than any other. Section 4 records the correction.</w:t>
      </w:r>
    </w:p>
    <w:p>
      <w:pPr>
        <w:spacing w:before="360" w:after="160"/>
        <w:jc w:val="both"/>
        <w:pBdr>
          <w:bottom w:val="single" w:sz="6" w:space="4" w:color="2E5395"/>
        </w:pBdr>
      </w:pPr>
      <w:r>
        <w:rPr>
          <w:rFonts w:ascii="Times New Roman" w:hAnsi="Times New Roman" w:cs="Times New Roman"/>
          <w:b/>
          <w:sz w:val="24"/>
          <w:u w:val="none"/>
        </w:rPr>
        <w:t>4. Acceptance Criteria Update (US-8)</w:t>
      </w:r>
    </w:p>
    <w:p>
      <w:pPr>
        <w:jc w:val="both"/>
      </w:pPr>
      <w:r>
        <w:rPr>
          <w:rFonts w:ascii="Times New Roman" w:hAnsi="Times New Roman" w:cs="Times New Roman"/>
          <w:b w:val="0"/>
          <w:sz w:val="24"/>
          <w:u w:val="none"/>
        </w:rPr>
        <w:t>The acceptance criteria for US-8 have been widened in docs/requirements/Project_charter and user stories.docx, in the same style as the amendment already made to US-11 in Week 2 (widening a criterion's wording after finding a real case it did not cover, rather than adding a new user story). The added sentence reads: "This check applies to every dispatched or drafted proposal, not only test proposals: propose_action v1.1 requires an evidence field on every action, and the Week 4 orchestration boundary validates citations before any tool dispatch (search_repo, read_file, run_tests, draft_issue), so a proposal with no evidence or a fabricated source_path is rejected before it reaches a tool, not only before it becomes a test proposal."</w:t>
      </w:r>
    </w:p>
    <w:p>
      <w:pPr>
        <w:jc w:val="both"/>
      </w:pPr>
      <w:r>
        <w:rPr>
          <w:rFonts w:ascii="Times New Roman" w:hAnsi="Times New Roman" w:cs="Times New Roman"/>
          <w:b w:val="0"/>
          <w:sz w:val="24"/>
          <w:u w:val="none"/>
        </w:rPr>
        <w:t>Two further observations were recorded without changing any acceptance criterion, since both are implementation gaps rather than documentation errors. US-11's requirement that the agent "flags" a disallowed request is correct as written, but the dispatcher's current rejection paths (malformed_request, unknown_tool) do not yet produce a distinguishable, logged flag tied to the BoundaryViolationAttempt type already defined in src/models/types.py; this belongs with the Week 5 agent loop and trace work. Separately, the dispatcher enforces role-based authorization per tool, but the Week 1 architecture document states that the QA engineer is the only human role in scope, with no reviewer or administrator persona modelled; none of the twelve stories promise role-based restrictions, so no story is affected, though the team should confirm allowed_roles is set consistently with that single-role model once Member 3's real tools are registered.</w:t>
      </w:r>
    </w:p>
    <w:p>
      <w:pPr>
        <w:jc w:val="both"/>
      </w:pPr>
      <w:r>
        <w:rPr>
          <w:rFonts w:ascii="Times New Roman" w:hAnsi="Times New Roman" w:cs="Times New Roman"/>
          <w:b w:val="0"/>
          <w:sz w:val="24"/>
          <w:u w:val="none"/>
        </w:rPr>
        <w:t>The full audit, including the reasoning behind each finding, is recorded in docs/requirements/week4-tool-schema-user-story-audit.md.</w:t>
      </w:r>
    </w:p>
    <w:p>
      <w:pPr>
        <w:spacing w:before="360" w:after="160"/>
        <w:jc w:val="both"/>
        <w:pBdr>
          <w:bottom w:val="single" w:sz="6" w:space="4" w:color="2E5395"/>
        </w:pBdr>
      </w:pPr>
      <w:r>
        <w:rPr>
          <w:rFonts w:ascii="Times New Roman" w:hAnsi="Times New Roman" w:cs="Times New Roman"/>
          <w:b/>
          <w:sz w:val="24"/>
          <w:u w:val="none"/>
        </w:rPr>
        <w:t>5. The Validation Script (src/orchestration/validation.py)</w:t>
      </w:r>
    </w:p>
    <w:p>
      <w:pPr>
        <w:jc w:val="both"/>
      </w:pPr>
      <w:r>
        <w:rPr>
          <w:rFonts w:ascii="Times New Roman" w:hAnsi="Times New Roman" w:cs="Times New Roman"/>
          <w:b w:val="0"/>
          <w:sz w:val="24"/>
          <w:u w:val="none"/>
        </w:rPr>
        <w:t>The script implements one function, validate_citations, which takes a ProposalSet and the set of source paths genuinely supplied to the model that turn. It raises UntraceableProposalError, reused directly from src/models/types.py rather than defined again, when the proposal has no evidence at all, or when any evidence entry cites a source_path outside the supplied set. When the proposal is clean, the function returns it unchanged, so it can be called directly in front of a dispatch call: validate_citations(proposal, allowed_source_paths) followed by dispatcher.dispatch(proposal, context=context).</w:t>
      </w:r>
    </w:p>
    <w:p>
      <w:pPr>
        <w:jc w:val="both"/>
      </w:pPr>
      <w:r>
        <w:rPr>
          <w:rFonts w:ascii="Times New Roman" w:hAnsi="Times New Roman" w:cs="Times New Roman"/>
          <w:b w:val="0"/>
          <w:sz w:val="24"/>
          <w:u w:val="none"/>
        </w:rPr>
        <w:t>The function generalises TestProposal.validate_sources, which already enforced this rule for propose_test outputs in Week 2, to the ProposalSet type itself, so the same check now covers every action a proposal can carry, matching the widened acceptance criteria in Section 4 rather than leaving the code narrower than the requirement it is meant to satisfy.</w:t>
      </w:r>
    </w:p>
    <w:p>
      <w:pPr>
        <w:spacing w:before="360" w:after="160"/>
        <w:jc w:val="both"/>
        <w:pBdr>
          <w:bottom w:val="single" w:sz="6" w:space="4" w:color="2E5395"/>
        </w:pBdr>
      </w:pPr>
      <w:r>
        <w:rPr>
          <w:rFonts w:ascii="Times New Roman" w:hAnsi="Times New Roman" w:cs="Times New Roman"/>
          <w:b/>
          <w:sz w:val="24"/>
          <w:u w:val="none"/>
        </w:rPr>
        <w:t>6. Verification</w:t>
      </w:r>
    </w:p>
    <w:p>
      <w:pPr>
        <w:jc w:val="both"/>
      </w:pPr>
      <w:r>
        <w:rPr>
          <w:rFonts w:ascii="Times New Roman" w:hAnsi="Times New Roman" w:cs="Times New Roman"/>
          <w:b w:val="0"/>
          <w:sz w:val="24"/>
          <w:u w:val="none"/>
        </w:rPr>
        <w:t>Two independent checks were run against the real dispatcher and the team's real evaluation fixtures, rather than treating the function's own logic as sufficient proof on its own.</w:t>
      </w:r>
    </w:p>
    <w:p>
      <w:pPr>
        <w:ind w:left="432"/>
      </w:pPr>
      <w:r>
        <w:rPr>
          <w:rFonts w:ascii="Consolas" w:hAnsi="Consolas"/>
          <w:sz w:val="21"/>
        </w:rPr>
        <w:t>PS&gt; $env:PYTHONPATH = "src"</w:t>
      </w:r>
    </w:p>
    <w:p>
      <w:pPr>
        <w:ind w:left="432"/>
      </w:pPr>
      <w:r>
        <w:rPr>
          <w:rFonts w:ascii="Consolas" w:hAnsi="Consolas"/>
          <w:sz w:val="21"/>
        </w:rPr>
        <w:t>PS&gt; python -m unittest tests.test_validation -v</w:t>
      </w:r>
    </w:p>
    <w:p>
      <w:pPr>
        <w:jc w:val="both"/>
      </w:pPr>
      <w:r>
        <w:rPr>
          <w:rFonts w:ascii="Times New Roman" w:hAnsi="Times New Roman" w:cs="Times New Roman"/>
          <w:b w:val="0"/>
          <w:sz w:val="24"/>
          <w:u w:val="none"/>
        </w:rPr>
        <w:t>This runs eight unit tests covering an empty-evidence proposal, a fabricated source_path, a mix of valid and fabricated entries, and confirmation that the check applies to every action, not only propose_test. Two of the eight do not use a hand-built example at all: they load the real adversarial_fabricated_citation_temptation case from tests/fixtures/prompt_eval_cases.json, the same red-team fixture Member 4's evaluation harness already exercises, and confirm validate_citations rejects it for the correct reason. All eight passed.</w:t>
      </w:r>
    </w:p>
    <w:p>
      <w:pPr>
        <w:ind w:left="432"/>
      </w:pPr>
      <w:r>
        <w:rPr>
          <w:rFonts w:ascii="Consolas" w:hAnsi="Consolas"/>
          <w:sz w:val="21"/>
        </w:rPr>
        <w:t>PS&gt; python -m unittest tests.test_validation tests.integration.test_tool_dispatcher -v</w:t>
      </w:r>
    </w:p>
    <w:p>
      <w:pPr>
        <w:jc w:val="both"/>
      </w:pPr>
      <w:r>
        <w:rPr>
          <w:rFonts w:ascii="Times New Roman" w:hAnsi="Times New Roman" w:cs="Times New Roman"/>
          <w:b w:val="0"/>
          <w:sz w:val="24"/>
          <w:u w:val="none"/>
        </w:rPr>
        <w:t>This runs the new tests alongside Member 2's sixteen existing dispatcher tests together, twenty-four in total, confirming the new module does not conflict with or break the dispatcher it sits in front of. All twenty-four passed.</w:t>
      </w:r>
    </w:p>
    <w:p>
      <w:pPr>
        <w:ind w:left="432"/>
      </w:pPr>
      <w:r>
        <w:rPr>
          <w:rFonts w:ascii="Consolas" w:hAnsi="Consolas"/>
          <w:sz w:val="21"/>
        </w:rPr>
        <w:t>PS&gt; python scripts\member1_validation_smoke.py</w:t>
      </w:r>
    </w:p>
    <w:p>
      <w:pPr>
        <w:jc w:val="both"/>
      </w:pPr>
      <w:r>
        <w:rPr>
          <w:rFonts w:ascii="Times New Roman" w:hAnsi="Times New Roman" w:cs="Times New Roman"/>
          <w:b w:val="0"/>
          <w:sz w:val="24"/>
          <w:u w:val="none"/>
        </w:rPr>
        <w:t>This demonstration script runs three scenarios end to end. The first takes the same fabricated-citation fixture case and shows it rejected before ToolDispatcher.dispatch() is ever called. The second takes a clean, grounded proposal and shows it passing the citation check unchanged and then executing normally through the dispatcher. The third takes a proposal with no evidence at all and shows it rejected for that separate reason. All three behaved as expected on the run recorded for this report.</w:t>
      </w:r>
    </w:p>
    <w:p>
      <w:pPr>
        <w:spacing w:before="360" w:after="160"/>
        <w:jc w:val="both"/>
        <w:pBdr>
          <w:bottom w:val="single" w:sz="6" w:space="4" w:color="2E5395"/>
        </w:pBdr>
      </w:pPr>
      <w:r>
        <w:rPr>
          <w:rFonts w:ascii="Times New Roman" w:hAnsi="Times New Roman" w:cs="Times New Roman"/>
          <w:b/>
          <w:sz w:val="24"/>
          <w:u w:val="none"/>
        </w:rPr>
        <w:t>7. Conclusion and Next Steps</w:t>
      </w:r>
    </w:p>
    <w:p>
      <w:pPr>
        <w:jc w:val="both"/>
      </w:pPr>
      <w:r>
        <w:rPr>
          <w:rFonts w:ascii="Times New Roman" w:hAnsi="Times New Roman" w:cs="Times New Roman"/>
          <w:b w:val="0"/>
          <w:sz w:val="24"/>
          <w:u w:val="none"/>
        </w:rPr>
        <w:t>Both Week 4 deliverables are complete, committed to the tool-related-user-stories-match-with-actual-tool-schemas branch, and verified against the real dispatcher and the team's own evaluation fixtures rather than assumed to be correct. The updated acceptance criteria and the validation script are ready to be pushed to the shared repository. One item is recommended for follow-up with the wider team: Member 3's four tool schemas are still the Week 1 draft version, and Member 2's Week 4 report lists implementing and registering the real tools, with their actual risk levels and allowed roles, as an open item. This audit should be re-checked once that work lands, since a change to a tool's declared risk or role could affect the findings recorded in Section 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