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E2FA2" w14:textId="77777777" w:rsidR="00F66E56" w:rsidRDefault="00F66E56">
      <w:pPr>
        <w:pStyle w:val="Heading1"/>
        <w:keepNext/>
        <w:spacing w:before="240" w:after="120"/>
      </w:pPr>
    </w:p>
    <w:p w14:paraId="6820D495" w14:textId="77777777" w:rsidR="00F66E56" w:rsidRDefault="00F66E56" w:rsidP="00F66E56">
      <w:pPr>
        <w:spacing w:after="40"/>
        <w:jc w:val="center"/>
        <w:rPr>
          <w:b/>
        </w:rPr>
      </w:pPr>
      <w:r>
        <w:rPr>
          <w:noProof/>
        </w:rPr>
        <w:drawing>
          <wp:inline distT="0" distB="0" distL="0" distR="0" wp14:anchorId="441B317E" wp14:editId="624679C6">
            <wp:extent cx="5943600" cy="1088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58EE" w14:textId="77777777" w:rsidR="00F66E56" w:rsidRDefault="00F66E56" w:rsidP="00F66E56">
      <w:pPr>
        <w:spacing w:after="40"/>
        <w:jc w:val="center"/>
      </w:pPr>
      <w:r>
        <w:rPr>
          <w:b/>
        </w:rPr>
        <w:t>COLLEGE OF COMPUTING AND INFORMATION SCIENCES</w:t>
      </w:r>
    </w:p>
    <w:p w14:paraId="5FC88584" w14:textId="77777777" w:rsidR="00F66E56" w:rsidRDefault="00F66E56" w:rsidP="00F66E56">
      <w:pPr>
        <w:spacing w:after="40"/>
        <w:jc w:val="center"/>
      </w:pPr>
      <w:r>
        <w:rPr>
          <w:b/>
        </w:rPr>
        <w:t>SCHOOL OF COMPUTING AND INFORMATICS TECHNOLOGY</w:t>
      </w:r>
    </w:p>
    <w:p w14:paraId="2AB6F7BD" w14:textId="77777777" w:rsidR="00F66E56" w:rsidRDefault="00F66E56" w:rsidP="00F66E56">
      <w:pPr>
        <w:spacing w:after="40"/>
        <w:jc w:val="center"/>
      </w:pPr>
      <w:r>
        <w:rPr>
          <w:b/>
        </w:rPr>
        <w:t>DEPARTMENT OF NETWORKS</w:t>
      </w:r>
    </w:p>
    <w:p w14:paraId="484ADEE2" w14:textId="77777777" w:rsidR="00F66E56" w:rsidRDefault="00F66E56" w:rsidP="00F66E56">
      <w:pPr>
        <w:spacing w:after="120"/>
        <w:jc w:val="center"/>
      </w:pPr>
      <w:r>
        <w:rPr>
          <w:b/>
        </w:rPr>
        <w:t>BSE4104: Emerging Trends in Software Engineering</w:t>
      </w:r>
      <w:r>
        <w:rPr>
          <w:b/>
        </w:rPr>
        <w:br/>
        <w:t>AI-Native and Agentic Engineering Capstone</w:t>
      </w:r>
    </w:p>
    <w:p w14:paraId="7B555A0B" w14:textId="77777777" w:rsidR="00F66E56" w:rsidRDefault="00F66E56" w:rsidP="00F66E56">
      <w:pPr>
        <w:spacing w:after="120"/>
        <w:jc w:val="center"/>
      </w:pPr>
      <w:r>
        <w:rPr>
          <w:b/>
        </w:rPr>
        <w:t>Project: Software-Engineering QA Agent</w:t>
      </w:r>
    </w:p>
    <w:p w14:paraId="146C3EF3" w14:textId="69666B57" w:rsidR="00F66E56" w:rsidRDefault="00F66E56" w:rsidP="00F66E56">
      <w:pPr>
        <w:spacing w:after="40"/>
        <w:jc w:val="center"/>
      </w:pPr>
      <w:r>
        <w:rPr>
          <w:b/>
          <w:sz w:val="28"/>
        </w:rPr>
        <w:t xml:space="preserve">MEMBER 1: WEEK </w:t>
      </w:r>
      <w:r>
        <w:rPr>
          <w:b/>
          <w:sz w:val="28"/>
          <w:lang w:val="en-GB"/>
        </w:rPr>
        <w:t>8</w:t>
      </w:r>
      <w:r>
        <w:rPr>
          <w:b/>
          <w:sz w:val="28"/>
        </w:rPr>
        <w:t xml:space="preserve"> CONTRIBUTION REPORT</w:t>
      </w:r>
    </w:p>
    <w:p w14:paraId="17B7B9EF" w14:textId="35C615BA" w:rsidR="00F66E56" w:rsidRPr="00F66E56" w:rsidRDefault="00F66E56" w:rsidP="00F66E56">
      <w:pPr>
        <w:spacing w:after="120"/>
        <w:jc w:val="center"/>
        <w:rPr>
          <w:lang w:val="en-GB"/>
        </w:rPr>
      </w:pPr>
      <w:r>
        <w:rPr>
          <w:b/>
          <w:lang w:val="en-GB"/>
        </w:rPr>
        <w:t>Final Engineering Report: Sections 1 and 2</w:t>
      </w:r>
    </w:p>
    <w:p w14:paraId="7E64CE80" w14:textId="4657ADA9" w:rsidR="00F66E56" w:rsidRDefault="00F66E56" w:rsidP="00F66E56">
      <w:pPr>
        <w:spacing w:after="40"/>
        <w:jc w:val="center"/>
      </w:pPr>
      <w:r>
        <w:t>Reporting Period: 1</w:t>
      </w:r>
      <w:r>
        <w:rPr>
          <w:lang w:val="en-GB"/>
        </w:rPr>
        <w:t>9</w:t>
      </w:r>
      <w:r>
        <w:t xml:space="preserve"> October - </w:t>
      </w:r>
      <w:r>
        <w:rPr>
          <w:lang w:val="en-GB"/>
        </w:rPr>
        <w:t>22</w:t>
      </w:r>
      <w:r>
        <w:t xml:space="preserve"> October 2026</w:t>
      </w:r>
    </w:p>
    <w:p w14:paraId="7C530C0B" w14:textId="77777777" w:rsidR="00F66E56" w:rsidRDefault="00F66E56" w:rsidP="00F66E56">
      <w:pPr>
        <w:spacing w:after="40"/>
        <w:jc w:val="center"/>
      </w:pPr>
      <w:r>
        <w:t>Group: J</w:t>
      </w:r>
    </w:p>
    <w:p w14:paraId="1901F277" w14:textId="77777777" w:rsidR="00F66E56" w:rsidRDefault="00F66E56" w:rsidP="00F66E56">
      <w:pPr>
        <w:jc w:val="center"/>
      </w:pPr>
      <w:r>
        <w:t>Prepared by: Amabe Junior Humphrey (Member 1, Project/Requirements Lead)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9"/>
        <w:gridCol w:w="2991"/>
        <w:gridCol w:w="3036"/>
      </w:tblGrid>
      <w:tr w:rsidR="00F66E56" w14:paraId="1516440D" w14:textId="77777777" w:rsidTr="00A168B4">
        <w:tc>
          <w:tcPr>
            <w:tcW w:w="3312" w:type="dxa"/>
          </w:tcPr>
          <w:p w14:paraId="7ABF8B6E" w14:textId="77777777" w:rsidR="00F66E56" w:rsidRDefault="00F66E56" w:rsidP="00A168B4">
            <w:r>
              <w:rPr>
                <w:b/>
                <w:sz w:val="18"/>
              </w:rPr>
              <w:t>NAME</w:t>
            </w:r>
          </w:p>
        </w:tc>
        <w:tc>
          <w:tcPr>
            <w:tcW w:w="3312" w:type="dxa"/>
          </w:tcPr>
          <w:p w14:paraId="2154F0C0" w14:textId="77777777" w:rsidR="00F66E56" w:rsidRDefault="00F66E56" w:rsidP="00A168B4">
            <w:r>
              <w:rPr>
                <w:b/>
                <w:sz w:val="18"/>
              </w:rPr>
              <w:t>STUDENT NUMBER</w:t>
            </w:r>
          </w:p>
        </w:tc>
        <w:tc>
          <w:tcPr>
            <w:tcW w:w="3312" w:type="dxa"/>
          </w:tcPr>
          <w:p w14:paraId="52A4BDE8" w14:textId="77777777" w:rsidR="00F66E56" w:rsidRDefault="00F66E56" w:rsidP="00A168B4">
            <w:r>
              <w:rPr>
                <w:b/>
                <w:sz w:val="18"/>
              </w:rPr>
              <w:t>REGISTRATION NUMBER</w:t>
            </w:r>
          </w:p>
        </w:tc>
      </w:tr>
      <w:tr w:rsidR="00F66E56" w14:paraId="19BF59E1" w14:textId="77777777" w:rsidTr="00A168B4">
        <w:tc>
          <w:tcPr>
            <w:tcW w:w="3312" w:type="dxa"/>
          </w:tcPr>
          <w:p w14:paraId="123D673D" w14:textId="77777777" w:rsidR="00F66E56" w:rsidRDefault="00F66E56" w:rsidP="00A168B4">
            <w:r>
              <w:rPr>
                <w:sz w:val="18"/>
              </w:rPr>
              <w:t>Karagwa Ann Treasure</w:t>
            </w:r>
          </w:p>
        </w:tc>
        <w:tc>
          <w:tcPr>
            <w:tcW w:w="3312" w:type="dxa"/>
          </w:tcPr>
          <w:p w14:paraId="58AE51B2" w14:textId="77777777" w:rsidR="00F66E56" w:rsidRDefault="00F66E56" w:rsidP="00A168B4">
            <w:r>
              <w:rPr>
                <w:sz w:val="18"/>
              </w:rPr>
              <w:t>2300709034</w:t>
            </w:r>
          </w:p>
        </w:tc>
        <w:tc>
          <w:tcPr>
            <w:tcW w:w="3312" w:type="dxa"/>
          </w:tcPr>
          <w:p w14:paraId="3280FEE5" w14:textId="77777777" w:rsidR="00F66E56" w:rsidRDefault="00F66E56" w:rsidP="00A168B4">
            <w:r>
              <w:rPr>
                <w:sz w:val="18"/>
              </w:rPr>
              <w:t>23/U/09034/PS</w:t>
            </w:r>
          </w:p>
        </w:tc>
      </w:tr>
      <w:tr w:rsidR="00F66E56" w14:paraId="10F5D936" w14:textId="77777777" w:rsidTr="00A168B4">
        <w:tc>
          <w:tcPr>
            <w:tcW w:w="3312" w:type="dxa"/>
          </w:tcPr>
          <w:p w14:paraId="5CE7D98A" w14:textId="77777777" w:rsidR="00F66E56" w:rsidRDefault="00F66E56" w:rsidP="00A168B4">
            <w:r>
              <w:rPr>
                <w:sz w:val="18"/>
              </w:rPr>
              <w:t>Ayan Mustafa Abdirahman</w:t>
            </w:r>
          </w:p>
        </w:tc>
        <w:tc>
          <w:tcPr>
            <w:tcW w:w="3312" w:type="dxa"/>
          </w:tcPr>
          <w:p w14:paraId="459163F1" w14:textId="77777777" w:rsidR="00F66E56" w:rsidRDefault="00F66E56" w:rsidP="00A168B4">
            <w:r>
              <w:rPr>
                <w:sz w:val="18"/>
              </w:rPr>
              <w:t>2300722948</w:t>
            </w:r>
          </w:p>
        </w:tc>
        <w:tc>
          <w:tcPr>
            <w:tcW w:w="3312" w:type="dxa"/>
          </w:tcPr>
          <w:p w14:paraId="75B3E219" w14:textId="77777777" w:rsidR="00F66E56" w:rsidRDefault="00F66E56" w:rsidP="00A168B4">
            <w:r>
              <w:rPr>
                <w:sz w:val="18"/>
              </w:rPr>
              <w:t>23/X/22948/EVE</w:t>
            </w:r>
          </w:p>
        </w:tc>
      </w:tr>
      <w:tr w:rsidR="00F66E56" w14:paraId="090EDB56" w14:textId="77777777" w:rsidTr="00A168B4">
        <w:tc>
          <w:tcPr>
            <w:tcW w:w="3312" w:type="dxa"/>
          </w:tcPr>
          <w:p w14:paraId="429AB779" w14:textId="77777777" w:rsidR="00F66E56" w:rsidRDefault="00F66E56" w:rsidP="00A168B4">
            <w:proofErr w:type="spellStart"/>
            <w:r>
              <w:rPr>
                <w:sz w:val="18"/>
              </w:rPr>
              <w:t>Wanyana</w:t>
            </w:r>
            <w:proofErr w:type="spellEnd"/>
            <w:r>
              <w:rPr>
                <w:sz w:val="18"/>
              </w:rPr>
              <w:t xml:space="preserve"> Selina </w:t>
            </w:r>
            <w:proofErr w:type="spellStart"/>
            <w:r>
              <w:rPr>
                <w:sz w:val="18"/>
              </w:rPr>
              <w:t>Masembe</w:t>
            </w:r>
            <w:proofErr w:type="spellEnd"/>
          </w:p>
        </w:tc>
        <w:tc>
          <w:tcPr>
            <w:tcW w:w="3312" w:type="dxa"/>
          </w:tcPr>
          <w:p w14:paraId="447D620A" w14:textId="77777777" w:rsidR="00F66E56" w:rsidRDefault="00F66E56" w:rsidP="00A168B4">
            <w:r>
              <w:rPr>
                <w:sz w:val="18"/>
              </w:rPr>
              <w:t>2300701529</w:t>
            </w:r>
          </w:p>
        </w:tc>
        <w:tc>
          <w:tcPr>
            <w:tcW w:w="3312" w:type="dxa"/>
          </w:tcPr>
          <w:p w14:paraId="1927059B" w14:textId="77777777" w:rsidR="00F66E56" w:rsidRDefault="00F66E56" w:rsidP="00A168B4">
            <w:r>
              <w:rPr>
                <w:sz w:val="18"/>
              </w:rPr>
              <w:t>23/U/1529</w:t>
            </w:r>
          </w:p>
        </w:tc>
      </w:tr>
      <w:tr w:rsidR="00F66E56" w14:paraId="67217761" w14:textId="77777777" w:rsidTr="00A168B4">
        <w:tc>
          <w:tcPr>
            <w:tcW w:w="3312" w:type="dxa"/>
          </w:tcPr>
          <w:p w14:paraId="1A01256C" w14:textId="77777777" w:rsidR="00F66E56" w:rsidRDefault="00F66E56" w:rsidP="00A168B4">
            <w:r>
              <w:rPr>
                <w:sz w:val="18"/>
              </w:rPr>
              <w:t>Amabe Junior Humphrey</w:t>
            </w:r>
          </w:p>
        </w:tc>
        <w:tc>
          <w:tcPr>
            <w:tcW w:w="3312" w:type="dxa"/>
          </w:tcPr>
          <w:p w14:paraId="39055609" w14:textId="77777777" w:rsidR="00F66E56" w:rsidRDefault="00F66E56" w:rsidP="00A168B4">
            <w:r>
              <w:rPr>
                <w:sz w:val="18"/>
              </w:rPr>
              <w:t>2300705942</w:t>
            </w:r>
          </w:p>
        </w:tc>
        <w:tc>
          <w:tcPr>
            <w:tcW w:w="3312" w:type="dxa"/>
          </w:tcPr>
          <w:p w14:paraId="1CC25AC8" w14:textId="77777777" w:rsidR="00F66E56" w:rsidRDefault="00F66E56" w:rsidP="00A168B4">
            <w:r>
              <w:rPr>
                <w:sz w:val="18"/>
              </w:rPr>
              <w:t>23/U/05942/PS</w:t>
            </w:r>
          </w:p>
        </w:tc>
      </w:tr>
      <w:tr w:rsidR="00F66E56" w14:paraId="7E6D59CE" w14:textId="77777777" w:rsidTr="00A168B4">
        <w:tc>
          <w:tcPr>
            <w:tcW w:w="3312" w:type="dxa"/>
          </w:tcPr>
          <w:p w14:paraId="09EDC472" w14:textId="77777777" w:rsidR="00F66E56" w:rsidRDefault="00F66E56" w:rsidP="00A168B4">
            <w:proofErr w:type="spellStart"/>
            <w:r>
              <w:rPr>
                <w:sz w:val="18"/>
              </w:rPr>
              <w:t>Akanga</w:t>
            </w:r>
            <w:proofErr w:type="spellEnd"/>
            <w:r>
              <w:rPr>
                <w:sz w:val="18"/>
              </w:rPr>
              <w:t xml:space="preserve"> Andrew</w:t>
            </w:r>
          </w:p>
        </w:tc>
        <w:tc>
          <w:tcPr>
            <w:tcW w:w="3312" w:type="dxa"/>
          </w:tcPr>
          <w:p w14:paraId="0195F4BA" w14:textId="77777777" w:rsidR="00F66E56" w:rsidRDefault="00F66E56" w:rsidP="00A168B4">
            <w:r>
              <w:rPr>
                <w:sz w:val="18"/>
              </w:rPr>
              <w:t>2300705555</w:t>
            </w:r>
          </w:p>
        </w:tc>
        <w:tc>
          <w:tcPr>
            <w:tcW w:w="3312" w:type="dxa"/>
          </w:tcPr>
          <w:p w14:paraId="70DA3698" w14:textId="77777777" w:rsidR="00F66E56" w:rsidRDefault="00F66E56" w:rsidP="00A168B4">
            <w:r>
              <w:rPr>
                <w:sz w:val="18"/>
              </w:rPr>
              <w:t>23/U/05555/PS</w:t>
            </w:r>
          </w:p>
        </w:tc>
      </w:tr>
    </w:tbl>
    <w:p w14:paraId="39540A6D" w14:textId="77777777" w:rsidR="00F66E56" w:rsidRDefault="00F66E56">
      <w:pPr>
        <w:pStyle w:val="Heading1"/>
        <w:keepNext/>
        <w:spacing w:before="240" w:after="120"/>
      </w:pPr>
    </w:p>
    <w:p w14:paraId="4A10D19A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1. Executive Summary</w:t>
      </w:r>
    </w:p>
    <w:p w14:paraId="0245DAF0" w14:textId="77777777" w:rsidR="006E0A82" w:rsidRDefault="00F66E56">
      <w:pPr>
        <w:spacing w:after="140" w:line="276" w:lineRule="auto"/>
        <w:jc w:val="both"/>
      </w:pPr>
      <w:r>
        <w:t>Small development teams often have requirements, implementation code, and tests in separate places. That separation makes it difficult to tell whether a requirement is implemented, whether an important code path is covered, and what a failing test means. T</w:t>
      </w:r>
      <w:r>
        <w:t>he Software-Engineering QA Agent addresses this problem with one bounded workflow: it reads a requirement and its related repository context, proposes a grounded test, runs only an approved test in a sandbox, explains failures in plain language, and prepar</w:t>
      </w:r>
      <w:r>
        <w:t>es a draft issue or pull-request note for human review.</w:t>
      </w:r>
    </w:p>
    <w:p w14:paraId="4CECE26F" w14:textId="77777777" w:rsidR="006E0A82" w:rsidRDefault="00F66E56">
      <w:pPr>
        <w:spacing w:after="140" w:line="276" w:lineRule="auto"/>
        <w:jc w:val="both"/>
      </w:pPr>
      <w:r>
        <w:t>The project deliberately separates AI-assisted reasoning from deterministic controls. The model proposes actions and test ideas, while application code validates the response schema and citations, aut</w:t>
      </w:r>
      <w:r>
        <w:t>horizes tools, enforces human approval, limits execution to the sandbox, redacts credential-shaped content, records audit traces, and stops the agent when a configured limit is reached. The agent cannot merge code, deploy, submit an issue, access credentia</w:t>
      </w:r>
      <w:r>
        <w:t>ls, or execute arbitrary shell commands.</w:t>
      </w:r>
    </w:p>
    <w:p w14:paraId="36B78D7A" w14:textId="77777777" w:rsidR="006E0A82" w:rsidRDefault="00F66E56">
      <w:pPr>
        <w:spacing w:after="140" w:line="276" w:lineRule="auto"/>
        <w:jc w:val="both"/>
      </w:pPr>
      <w:r>
        <w:t xml:space="preserve">Across the completed evaluation work, the project has a 61-scenario evaluation surface covering normal, edge, adversarial, retrieval, tool-failure, and historical-regression cases. The </w:t>
      </w:r>
      <w:r>
        <w:lastRenderedPageBreak/>
        <w:t>Week 8 hardening work also re-</w:t>
      </w:r>
      <w:r>
        <w:t>tested six historical failures and closed a traceability gap in the scenario-to-user-story mapping. The resulting system is appropriate for a small, team-owned codebase: it improves the speed and consistency of QA analysis without replacing the human decis</w:t>
      </w:r>
      <w:r>
        <w:t>ions required for consequential repository actions.</w:t>
      </w:r>
    </w:p>
    <w:p w14:paraId="3ABB40EF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 Problem Context</w:t>
      </w:r>
    </w:p>
    <w:p w14:paraId="3CB6F2D5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2.1 Current problem</w:t>
      </w:r>
    </w:p>
    <w:p w14:paraId="518E9F55" w14:textId="77777777" w:rsidR="006E0A82" w:rsidRDefault="00F66E56">
      <w:pPr>
        <w:spacing w:after="140" w:line="276" w:lineRule="auto"/>
        <w:jc w:val="both"/>
      </w:pPr>
      <w:r>
        <w:t>In the target setting, a developer or QA-focused team member must manually reconcile three sources of truth:</w:t>
      </w:r>
    </w:p>
    <w:p w14:paraId="6783646E" w14:textId="77777777" w:rsidR="006E0A82" w:rsidRDefault="00F66E56">
      <w:pPr>
        <w:pStyle w:val="ListParagraph"/>
        <w:numPr>
          <w:ilvl w:val="0"/>
          <w:numId w:val="1"/>
        </w:numPr>
        <w:spacing w:after="140" w:line="276" w:lineRule="auto"/>
        <w:ind w:left="360" w:hanging="180"/>
        <w:jc w:val="both"/>
      </w:pPr>
      <w:r>
        <w:t>requirements and acceptance criteria;</w:t>
      </w:r>
    </w:p>
    <w:p w14:paraId="36B0C706" w14:textId="77777777" w:rsidR="006E0A82" w:rsidRDefault="00F66E56">
      <w:pPr>
        <w:pStyle w:val="ListParagraph"/>
        <w:numPr>
          <w:ilvl w:val="0"/>
          <w:numId w:val="1"/>
        </w:numPr>
        <w:spacing w:after="140" w:line="276" w:lineRule="auto"/>
        <w:ind w:left="360" w:hanging="180"/>
        <w:jc w:val="both"/>
      </w:pPr>
      <w:r>
        <w:t>implementation cod</w:t>
      </w:r>
      <w:r>
        <w:t>e and public code paths; and</w:t>
      </w:r>
    </w:p>
    <w:p w14:paraId="36CFFCB5" w14:textId="77777777" w:rsidR="006E0A82" w:rsidRDefault="00F66E56">
      <w:pPr>
        <w:pStyle w:val="ListParagraph"/>
        <w:numPr>
          <w:ilvl w:val="0"/>
          <w:numId w:val="1"/>
        </w:numPr>
        <w:spacing w:after="140" w:line="276" w:lineRule="auto"/>
        <w:ind w:left="360" w:hanging="180"/>
        <w:jc w:val="both"/>
      </w:pPr>
      <w:r>
        <w:t>tests, test output, and historical failure logs.</w:t>
      </w:r>
    </w:p>
    <w:p w14:paraId="641E8930" w14:textId="77777777" w:rsidR="006E0A82" w:rsidRDefault="00F66E56">
      <w:pPr>
        <w:spacing w:after="140" w:line="276" w:lineRule="auto"/>
        <w:jc w:val="both"/>
      </w:pPr>
      <w:r>
        <w:t>This reconciliation is repetitive and easy to postpone. A developer may miss an untested public function, write a test that is not grounded in the requirement, or spend significa</w:t>
      </w:r>
      <w:r>
        <w:t>nt time interpreting a raw stack trace before identifying the likely cause. On a small team, the work competes directly with feature delivery, so coverage gaps and regressions can reach review before they are noticed.</w:t>
      </w:r>
    </w:p>
    <w:p w14:paraId="0281E3B0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2.2 Target users and operating context</w:t>
      </w:r>
    </w:p>
    <w:p w14:paraId="4C0883F8" w14:textId="77777777" w:rsidR="006E0A82" w:rsidRDefault="00F66E56">
      <w:pPr>
        <w:spacing w:after="140" w:line="276" w:lineRule="auto"/>
        <w:jc w:val="both"/>
      </w:pPr>
      <w:r>
        <w:t>The primary user is a developer or QA-focused member of a small software team of roughly four to six engineers. A team or technical lead is the secondary user and reviews proposed tests, execution decisions, and draft issue content. The system is designed</w:t>
      </w:r>
      <w:r>
        <w:t xml:space="preserve"> for one team-owned repository containing a partial requirements specification, source code, tests, and test logs. It does not assume access to production systems or confidential customer data.</w:t>
      </w:r>
    </w:p>
    <w:p w14:paraId="7DBBA14D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2.3 Why an AI-assisted approach is useful</w:t>
      </w:r>
    </w:p>
    <w:p w14:paraId="22280082" w14:textId="77777777" w:rsidR="006E0A82" w:rsidRDefault="00F66E56">
      <w:pPr>
        <w:spacing w:after="140" w:line="276" w:lineRule="auto"/>
        <w:jc w:val="both"/>
      </w:pPr>
      <w:r>
        <w:t>The language-heavy p</w:t>
      </w:r>
      <w:r>
        <w:t xml:space="preserve">arts of the workflow are suitable for model assistance: the agent can compare requirement text with source code, identify likely boundary conditions, propose candidate tests, and summarise failures in readable language. These tasks benefit from retrieving </w:t>
      </w:r>
      <w:r>
        <w:t>and reasoning over several related documents.</w:t>
      </w:r>
    </w:p>
    <w:p w14:paraId="73A846AD" w14:textId="77777777" w:rsidR="006E0A82" w:rsidRDefault="00F66E56">
      <w:pPr>
        <w:spacing w:after="140" w:line="276" w:lineRule="auto"/>
        <w:jc w:val="both"/>
      </w:pPr>
      <w:r>
        <w:t>The high-consequence parts remain deterministic. The system, rather than the model, decides whether a citation was actually supplied, whether a tool is allowed, whether a human approval is valid, whether a test</w:t>
      </w:r>
      <w:r>
        <w:t xml:space="preserve"> is inside the sandbox, whether credentials must be redacted, and whether the loop must stop. This division reduces the risk that a persuasive model response is treated as an authorization or execution decision.</w:t>
      </w:r>
    </w:p>
    <w:p w14:paraId="19AC57AE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2.4 Scope and constraints</w:t>
      </w:r>
    </w:p>
    <w:p w14:paraId="03AC795E" w14:textId="77777777" w:rsidR="006E0A82" w:rsidRDefault="00F66E56">
      <w:pPr>
        <w:spacing w:after="140" w:line="276" w:lineRule="auto"/>
        <w:jc w:val="both"/>
      </w:pPr>
      <w:r>
        <w:t>The implementation</w:t>
      </w:r>
      <w:r>
        <w:t xml:space="preserve"> covers one end-to-end QA workflow and four controlled tool roles: repository search, file reading, sandboxed test execution, and draft issue preparation. The agent loop is bounded by iteration, wall-clock, repeated-call, and no-new-information conditions.</w:t>
      </w:r>
      <w:r>
        <w:t xml:space="preserve"> </w:t>
      </w:r>
      <w:r>
        <w:lastRenderedPageBreak/>
        <w:t>Persistent memory is limited to module-scoped proposal history, including tests already proposed, run, or explicitly rejected; previous diagnoses are not reused as evidence.</w:t>
      </w:r>
    </w:p>
    <w:p w14:paraId="0AB8C5BF" w14:textId="77777777" w:rsidR="006E0A82" w:rsidRDefault="00F66E56">
      <w:pPr>
        <w:spacing w:after="140" w:line="276" w:lineRule="auto"/>
        <w:jc w:val="both"/>
      </w:pPr>
      <w:r>
        <w:t xml:space="preserve">Automatic merging, deployment, issue submission, pull-request submission, secret </w:t>
      </w:r>
      <w:r>
        <w:t>or credential access, production access, arbitrary shell commands, and multi-repository operation are out of scope. These constraints are central requirements rather than optional deployment preferences.</w:t>
      </w:r>
    </w:p>
    <w:p w14:paraId="6D86E582" w14:textId="77777777" w:rsidR="006E0A82" w:rsidRPr="00F66E56" w:rsidRDefault="00F66E56">
      <w:pPr>
        <w:pStyle w:val="Heading2"/>
        <w:keepNext/>
        <w:spacing w:before="240" w:after="120"/>
        <w:rPr>
          <w:b/>
          <w:bCs/>
          <w:color w:val="auto"/>
        </w:rPr>
      </w:pPr>
      <w:r w:rsidRPr="00F66E56">
        <w:rPr>
          <w:b/>
          <w:bCs/>
          <w:color w:val="auto"/>
        </w:rPr>
        <w:t>2.5 Success criteria</w:t>
      </w:r>
    </w:p>
    <w:p w14:paraId="6B1FA41C" w14:textId="77777777" w:rsidR="006E0A82" w:rsidRDefault="00F66E56">
      <w:pPr>
        <w:spacing w:after="140" w:line="276" w:lineRule="auto"/>
        <w:jc w:val="both"/>
      </w:pPr>
      <w:r>
        <w:t>The project is evaluated agains</w:t>
      </w:r>
      <w:r>
        <w:t>t measurable criteria: at least three source-traceable test proposals per module when the evidence supports them, zero test execution outside the sandbox, zero execution of unapproved tests, human approval for every higher-impact action, readable failure s</w:t>
      </w:r>
      <w:r>
        <w:t>ummaries, and termination within the configured loop limit. The Week 8 traceability verification also ensures that every evaluation case is either mapped to a user story or explicitly documented as a contract-level exception.</w:t>
      </w:r>
    </w:p>
    <w:sectPr w:rsidR="006E0A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4B7"/>
    <w:multiLevelType w:val="hybridMultilevel"/>
    <w:tmpl w:val="B5A2A03A"/>
    <w:lvl w:ilvl="0" w:tplc="63CC0AB4">
      <w:start w:val="1"/>
      <w:numFmt w:val="bullet"/>
      <w:lvlText w:val="●"/>
      <w:lvlJc w:val="left"/>
      <w:pPr>
        <w:ind w:left="720" w:hanging="360"/>
      </w:pPr>
    </w:lvl>
    <w:lvl w:ilvl="1" w:tplc="15B4E666">
      <w:start w:val="1"/>
      <w:numFmt w:val="bullet"/>
      <w:lvlText w:val="○"/>
      <w:lvlJc w:val="left"/>
      <w:pPr>
        <w:ind w:left="1440" w:hanging="360"/>
      </w:pPr>
    </w:lvl>
    <w:lvl w:ilvl="2" w:tplc="865ACFB0">
      <w:start w:val="1"/>
      <w:numFmt w:val="bullet"/>
      <w:lvlText w:val="■"/>
      <w:lvlJc w:val="left"/>
      <w:pPr>
        <w:ind w:left="2160" w:hanging="360"/>
      </w:pPr>
    </w:lvl>
    <w:lvl w:ilvl="3" w:tplc="45ECF38A">
      <w:start w:val="1"/>
      <w:numFmt w:val="bullet"/>
      <w:lvlText w:val="●"/>
      <w:lvlJc w:val="left"/>
      <w:pPr>
        <w:ind w:left="2880" w:hanging="360"/>
      </w:pPr>
    </w:lvl>
    <w:lvl w:ilvl="4" w:tplc="991A0DB8">
      <w:start w:val="1"/>
      <w:numFmt w:val="bullet"/>
      <w:lvlText w:val="○"/>
      <w:lvlJc w:val="left"/>
      <w:pPr>
        <w:ind w:left="3600" w:hanging="360"/>
      </w:pPr>
    </w:lvl>
    <w:lvl w:ilvl="5" w:tplc="92CC4652">
      <w:start w:val="1"/>
      <w:numFmt w:val="bullet"/>
      <w:lvlText w:val="■"/>
      <w:lvlJc w:val="left"/>
      <w:pPr>
        <w:ind w:left="4320" w:hanging="360"/>
      </w:pPr>
    </w:lvl>
    <w:lvl w:ilvl="6" w:tplc="466ADD38">
      <w:start w:val="1"/>
      <w:numFmt w:val="bullet"/>
      <w:lvlText w:val="●"/>
      <w:lvlJc w:val="left"/>
      <w:pPr>
        <w:ind w:left="5040" w:hanging="360"/>
      </w:pPr>
    </w:lvl>
    <w:lvl w:ilvl="7" w:tplc="4624568C">
      <w:start w:val="1"/>
      <w:numFmt w:val="bullet"/>
      <w:lvlText w:val="●"/>
      <w:lvlJc w:val="left"/>
      <w:pPr>
        <w:ind w:left="5760" w:hanging="360"/>
      </w:pPr>
    </w:lvl>
    <w:lvl w:ilvl="8" w:tplc="BB9CC7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82"/>
    <w:rsid w:val="006E0A82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A3B74"/>
  <w15:docId w15:val="{79CCD360-88C8-4453-9BCA-60D2B6B1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F66E56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Humphrey Junior</cp:lastModifiedBy>
  <cp:revision>2</cp:revision>
  <dcterms:created xsi:type="dcterms:W3CDTF">2026-10-22T12:54:00Z</dcterms:created>
  <dcterms:modified xsi:type="dcterms:W3CDTF">2026-10-22T13:00:00Z</dcterms:modified>
</cp:coreProperties>
</file>