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1088154"/>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5943600" cy="1088154"/>
                    </a:xfrm>
                    <a:prstGeom prst="rect"/>
                  </pic:spPr>
                </pic:pic>
              </a:graphicData>
            </a:graphic>
          </wp:inline>
        </w:drawing>
      </w:r>
    </w:p>
    <w:p>
      <w:pPr>
        <w:jc w:val="center"/>
      </w:pPr>
      <w:r>
        <w:rPr>
          <w:rFonts w:ascii="Times New Roman" w:hAnsi="Times New Roman" w:cs="Times New Roman"/>
          <w:b w:val="0"/>
          <w:sz w:val="24"/>
          <w:u w:val="none"/>
        </w:rPr>
        <w:t>COLLEGE OF COMPUTING AND INFORMATION SCIENCES</w:t>
      </w:r>
    </w:p>
    <w:p>
      <w:pPr>
        <w:jc w:val="center"/>
      </w:pPr>
      <w:r>
        <w:rPr>
          <w:rFonts w:ascii="Times New Roman" w:hAnsi="Times New Roman" w:cs="Times New Roman"/>
          <w:b w:val="0"/>
          <w:sz w:val="24"/>
          <w:u w:val="none"/>
        </w:rPr>
        <w:t>SCHOOL OF COMPUTING AND INFORMATICS TECHNOLOGY</w:t>
      </w:r>
    </w:p>
    <w:p>
      <w:pPr>
        <w:jc w:val="center"/>
      </w:pPr>
      <w:r>
        <w:rPr>
          <w:rFonts w:ascii="Times New Roman" w:hAnsi="Times New Roman" w:cs="Times New Roman"/>
          <w:b w:val="0"/>
          <w:sz w:val="24"/>
          <w:u w:val="none"/>
        </w:rPr>
        <w:t>DEPARTMENT OF NETWORKS</w:t>
      </w:r>
    </w:p>
    <w:p>
      <w:pPr>
        <w:jc w:val="center"/>
      </w:pPr>
    </w:p>
    <w:p>
      <w:pPr>
        <w:jc w:val="center"/>
      </w:pPr>
      <w:r>
        <w:rPr>
          <w:rFonts w:ascii="Times New Roman" w:hAnsi="Times New Roman" w:cs="Times New Roman"/>
          <w:b w:val="0"/>
          <w:sz w:val="24"/>
          <w:u w:val="none"/>
        </w:rPr>
        <w:t>BSE4104</w:t>
      </w:r>
      <w:r>
        <w:rPr>
          <w:rFonts w:ascii="Times New Roman" w:hAnsi="Times New Roman" w:cs="Times New Roman"/>
          <w:b w:val="0"/>
          <w:sz w:val="24"/>
          <w:u w:val="none"/>
        </w:rPr>
        <w:t>: Emerging Trends in Software Engineering</w:t>
      </w:r>
      <w:r>
        <w:br/>
      </w:r>
      <w:r>
        <w:rPr>
          <w:rFonts w:ascii="Times New Roman" w:hAnsi="Times New Roman" w:cs="Times New Roman"/>
          <w:b w:val="0"/>
          <w:sz w:val="24"/>
          <w:u w:val="none"/>
        </w:rPr>
        <w:t>AI-Native and Agentic Engineering Capstone</w:t>
      </w:r>
    </w:p>
    <w:p>
      <w:pPr>
        <w:jc w:val="center"/>
      </w:pPr>
      <w:r>
        <w:rPr>
          <w:rFonts w:ascii="Times New Roman" w:hAnsi="Times New Roman" w:cs="Times New Roman"/>
          <w:b/>
          <w:sz w:val="24"/>
          <w:u w:val="single"/>
        </w:rPr>
        <w:t>Project: Software-Engineering QA Agent</w:t>
      </w:r>
    </w:p>
    <w:p>
      <w:pPr>
        <w:jc w:val="center"/>
      </w:pPr>
    </w:p>
    <w:p>
      <w:pPr>
        <w:jc w:val="center"/>
      </w:pPr>
      <w:r>
        <w:rPr>
          <w:rFonts w:ascii="Times New Roman" w:hAnsi="Times New Roman" w:cs="Times New Roman"/>
          <w:b/>
          <w:sz w:val="24"/>
          <w:u w:val="none"/>
        </w:rPr>
        <w:t>MEMBER 1: WEEK 3 CONTRIBUTION REPORT</w:t>
      </w:r>
    </w:p>
    <w:p>
      <w:pPr>
        <w:jc w:val="center"/>
      </w:pPr>
      <w:r>
        <w:rPr>
          <w:rFonts w:ascii="Times New Roman" w:hAnsi="Times New Roman" w:cs="Times New Roman"/>
          <w:b/>
          <w:sz w:val="24"/>
          <w:u w:val="none"/>
        </w:rPr>
        <w:t>Corpus Collection and Provenance Tagging</w:t>
      </w:r>
    </w:p>
    <w:p>
      <w:pPr>
        <w:jc w:val="center"/>
      </w:pPr>
      <w:r>
        <w:rPr>
          <w:rFonts w:ascii="Times New Roman" w:hAnsi="Times New Roman" w:cs="Times New Roman"/>
          <w:b w:val="0"/>
          <w:sz w:val="24"/>
          <w:u w:val="none"/>
        </w:rPr>
        <w:t>Reporting Period: 14 - 18 September 2026</w:t>
      </w:r>
    </w:p>
    <w:p>
      <w:pPr>
        <w:jc w:val="center"/>
      </w:pPr>
    </w:p>
    <w:p>
      <w:pPr>
        <w:jc w:val="center"/>
      </w:pPr>
      <w:r>
        <w:rPr>
          <w:rFonts w:ascii="Times New Roman" w:hAnsi="Times New Roman" w:cs="Times New Roman"/>
          <w:b w:val="0"/>
          <w:sz w:val="24"/>
          <w:u w:val="none"/>
        </w:rPr>
        <w:t>Group: J</w:t>
      </w:r>
    </w:p>
    <w:p>
      <w:pPr>
        <w:jc w:val="center"/>
      </w:pPr>
      <w:r>
        <w:rPr>
          <w:rFonts w:ascii="Times New Roman" w:hAnsi="Times New Roman" w:cs="Times New Roman"/>
          <w:b w:val="0"/>
          <w:sz w:val="24"/>
          <w:u w:val="none"/>
        </w:rPr>
        <w:t>Prepared by: Amabe Junior Humphrey (Member 1, Project/Requirements Lead)</w:t>
      </w:r>
    </w:p>
    <w:p>
      <w:pPr>
        <w:jc w:val="center"/>
      </w:pPr>
    </w:p>
    <w:p>
      <w:pPr>
        <w:jc w:val="center"/>
      </w:pP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cs="Times New Roman"/>
                <w:b/>
                <w:sz w:val="24"/>
                <w:u w:val="none"/>
              </w:rPr>
              <w:t>NAME</w:t>
            </w:r>
          </w:p>
        </w:tc>
        <w:tc>
          <w:tcPr>
            <w:tcW w:type="dxa" w:w="3120"/>
          </w:tcPr>
          <w:p>
            <w:pPr>
              <w:jc w:val="center"/>
            </w:pPr>
            <w:r/>
            <w:r>
              <w:rPr>
                <w:rFonts w:ascii="Times New Roman" w:hAnsi="Times New Roman" w:cs="Times New Roman"/>
                <w:b/>
                <w:sz w:val="24"/>
                <w:u w:val="none"/>
              </w:rPr>
              <w:t>STUDENT NUMBER</w:t>
            </w:r>
          </w:p>
        </w:tc>
        <w:tc>
          <w:tcPr>
            <w:tcW w:type="dxa" w:w="3120"/>
          </w:tcPr>
          <w:p>
            <w:pPr>
              <w:jc w:val="center"/>
            </w:pPr>
            <w:r/>
            <w:r>
              <w:rPr>
                <w:rFonts w:ascii="Times New Roman" w:hAnsi="Times New Roman" w:cs="Times New Roman"/>
                <w:b/>
                <w:sz w:val="24"/>
                <w:u w:val="none"/>
              </w:rPr>
              <w:t>REGISTRATION NUMBER</w:t>
            </w:r>
          </w:p>
        </w:tc>
      </w:tr>
      <w:tr>
        <w:tc>
          <w:tcPr>
            <w:tcW w:type="dxa" w:w="3120"/>
          </w:tcPr>
          <w:p>
            <w:pPr>
              <w:jc w:val="center"/>
            </w:pPr>
            <w:r/>
            <w:r>
              <w:rPr>
                <w:rFonts w:ascii="Times New Roman" w:hAnsi="Times New Roman" w:cs="Times New Roman"/>
                <w:b w:val="0"/>
                <w:sz w:val="24"/>
                <w:u w:val="none"/>
              </w:rPr>
              <w:t>Karagwa Ann Treasure</w:t>
            </w:r>
          </w:p>
        </w:tc>
        <w:tc>
          <w:tcPr>
            <w:tcW w:type="dxa" w:w="3120"/>
          </w:tcPr>
          <w:p>
            <w:pPr>
              <w:jc w:val="center"/>
            </w:pPr>
            <w:r/>
            <w:r>
              <w:rPr>
                <w:rFonts w:ascii="Times New Roman" w:hAnsi="Times New Roman" w:cs="Times New Roman"/>
                <w:b w:val="0"/>
                <w:sz w:val="24"/>
                <w:u w:val="none"/>
              </w:rPr>
              <w:t>2300709034</w:t>
            </w:r>
          </w:p>
        </w:tc>
        <w:tc>
          <w:tcPr>
            <w:tcW w:type="dxa" w:w="3120"/>
          </w:tcPr>
          <w:p>
            <w:pPr>
              <w:jc w:val="center"/>
            </w:pPr>
            <w:r/>
            <w:r>
              <w:rPr>
                <w:rFonts w:ascii="Times New Roman" w:hAnsi="Times New Roman" w:cs="Times New Roman"/>
                <w:b w:val="0"/>
                <w:sz w:val="24"/>
                <w:u w:val="none"/>
              </w:rPr>
              <w:t>23/U/09034/PS</w:t>
            </w:r>
          </w:p>
        </w:tc>
      </w:tr>
      <w:tr>
        <w:tc>
          <w:tcPr>
            <w:tcW w:type="dxa" w:w="3120"/>
          </w:tcPr>
          <w:p>
            <w:pPr>
              <w:jc w:val="center"/>
            </w:pPr>
            <w:r/>
            <w:r>
              <w:rPr>
                <w:rFonts w:ascii="Times New Roman" w:hAnsi="Times New Roman" w:cs="Times New Roman"/>
                <w:b w:val="0"/>
                <w:sz w:val="24"/>
                <w:u w:val="none"/>
              </w:rPr>
              <w:t>Ayan Mustafa Abdirahman</w:t>
            </w:r>
          </w:p>
        </w:tc>
        <w:tc>
          <w:tcPr>
            <w:tcW w:type="dxa" w:w="3120"/>
          </w:tcPr>
          <w:p>
            <w:pPr>
              <w:jc w:val="center"/>
            </w:pPr>
            <w:r/>
            <w:r>
              <w:rPr>
                <w:rFonts w:ascii="Times New Roman" w:hAnsi="Times New Roman" w:cs="Times New Roman"/>
                <w:b w:val="0"/>
                <w:sz w:val="24"/>
                <w:u w:val="none"/>
              </w:rPr>
              <w:t>2300722948</w:t>
            </w:r>
          </w:p>
        </w:tc>
        <w:tc>
          <w:tcPr>
            <w:tcW w:type="dxa" w:w="3120"/>
          </w:tcPr>
          <w:p>
            <w:pPr>
              <w:jc w:val="center"/>
            </w:pPr>
            <w:r/>
            <w:r>
              <w:rPr>
                <w:rFonts w:ascii="Times New Roman" w:hAnsi="Times New Roman" w:cs="Times New Roman"/>
                <w:b w:val="0"/>
                <w:sz w:val="24"/>
                <w:u w:val="none"/>
              </w:rPr>
              <w:t>23/X/22948/EVE</w:t>
            </w:r>
          </w:p>
        </w:tc>
      </w:tr>
      <w:tr>
        <w:tc>
          <w:tcPr>
            <w:tcW w:type="dxa" w:w="3120"/>
          </w:tcPr>
          <w:p>
            <w:pPr>
              <w:jc w:val="center"/>
            </w:pPr>
            <w:r/>
            <w:r>
              <w:rPr>
                <w:rFonts w:ascii="Times New Roman" w:hAnsi="Times New Roman" w:cs="Times New Roman"/>
                <w:b w:val="0"/>
                <w:sz w:val="24"/>
                <w:u w:val="none"/>
              </w:rPr>
              <w:t>Wanyana Selina Masembe</w:t>
            </w:r>
          </w:p>
        </w:tc>
        <w:tc>
          <w:tcPr>
            <w:tcW w:type="dxa" w:w="3120"/>
          </w:tcPr>
          <w:p>
            <w:pPr>
              <w:jc w:val="center"/>
            </w:pPr>
            <w:r/>
            <w:r>
              <w:rPr>
                <w:rFonts w:ascii="Times New Roman" w:hAnsi="Times New Roman" w:cs="Times New Roman"/>
                <w:b w:val="0"/>
                <w:sz w:val="24"/>
                <w:u w:val="none"/>
              </w:rPr>
              <w:t>2300701529</w:t>
            </w:r>
          </w:p>
        </w:tc>
        <w:tc>
          <w:tcPr>
            <w:tcW w:type="dxa" w:w="3120"/>
          </w:tcPr>
          <w:p>
            <w:pPr>
              <w:jc w:val="center"/>
            </w:pPr>
            <w:r/>
            <w:r>
              <w:rPr>
                <w:rFonts w:ascii="Times New Roman" w:hAnsi="Times New Roman" w:cs="Times New Roman"/>
                <w:b w:val="0"/>
                <w:sz w:val="24"/>
                <w:u w:val="none"/>
              </w:rPr>
              <w:t>23/U/1529</w:t>
            </w:r>
          </w:p>
        </w:tc>
      </w:tr>
      <w:tr>
        <w:tc>
          <w:tcPr>
            <w:tcW w:type="dxa" w:w="3120"/>
          </w:tcPr>
          <w:p>
            <w:pPr>
              <w:jc w:val="center"/>
            </w:pPr>
            <w:r/>
            <w:r>
              <w:rPr>
                <w:rFonts w:ascii="Times New Roman" w:hAnsi="Times New Roman" w:cs="Times New Roman"/>
                <w:b w:val="0"/>
                <w:sz w:val="24"/>
                <w:u w:val="none"/>
              </w:rPr>
              <w:t>Amabe Junior Humphrey</w:t>
            </w:r>
          </w:p>
        </w:tc>
        <w:tc>
          <w:tcPr>
            <w:tcW w:type="dxa" w:w="3120"/>
          </w:tcPr>
          <w:p>
            <w:pPr>
              <w:jc w:val="center"/>
            </w:pPr>
            <w:r/>
            <w:r>
              <w:rPr>
                <w:rFonts w:ascii="Times New Roman" w:hAnsi="Times New Roman" w:cs="Times New Roman"/>
                <w:b w:val="0"/>
                <w:sz w:val="24"/>
                <w:u w:val="none"/>
              </w:rPr>
              <w:t>2300705942</w:t>
            </w:r>
          </w:p>
        </w:tc>
        <w:tc>
          <w:tcPr>
            <w:tcW w:type="dxa" w:w="3120"/>
          </w:tcPr>
          <w:p>
            <w:pPr>
              <w:jc w:val="center"/>
            </w:pPr>
            <w:r/>
            <w:r>
              <w:rPr>
                <w:rFonts w:ascii="Times New Roman" w:hAnsi="Times New Roman" w:cs="Times New Roman"/>
                <w:b w:val="0"/>
                <w:sz w:val="24"/>
                <w:u w:val="none"/>
              </w:rPr>
              <w:t>23/U/05942/PS</w:t>
            </w:r>
          </w:p>
        </w:tc>
      </w:tr>
      <w:tr>
        <w:tc>
          <w:tcPr>
            <w:tcW w:type="dxa" w:w="3120"/>
          </w:tcPr>
          <w:p>
            <w:pPr>
              <w:jc w:val="center"/>
            </w:pPr>
            <w:r/>
            <w:r>
              <w:rPr>
                <w:rFonts w:ascii="Times New Roman" w:hAnsi="Times New Roman" w:cs="Times New Roman"/>
                <w:b w:val="0"/>
                <w:sz w:val="24"/>
                <w:u w:val="none"/>
              </w:rPr>
              <w:t>Akanga Andrew</w:t>
            </w:r>
          </w:p>
        </w:tc>
        <w:tc>
          <w:tcPr>
            <w:tcW w:type="dxa" w:w="3120"/>
          </w:tcPr>
          <w:p>
            <w:pPr>
              <w:jc w:val="center"/>
            </w:pPr>
            <w:r/>
            <w:r>
              <w:rPr>
                <w:rFonts w:ascii="Times New Roman" w:hAnsi="Times New Roman" w:cs="Times New Roman"/>
                <w:b w:val="0"/>
                <w:sz w:val="24"/>
                <w:u w:val="none"/>
              </w:rPr>
              <w:t>2300705555</w:t>
            </w:r>
          </w:p>
        </w:tc>
        <w:tc>
          <w:tcPr>
            <w:tcW w:type="dxa" w:w="3120"/>
          </w:tcPr>
          <w:p>
            <w:pPr>
              <w:jc w:val="center"/>
            </w:pPr>
            <w:r/>
            <w:r>
              <w:rPr>
                <w:rFonts w:ascii="Times New Roman" w:hAnsi="Times New Roman" w:cs="Times New Roman"/>
                <w:b w:val="0"/>
                <w:sz w:val="24"/>
                <w:u w:val="none"/>
              </w:rPr>
              <w:t>23/U/05555/PS</w:t>
            </w:r>
          </w:p>
        </w:tc>
      </w:tr>
    </w:tbl>
    <w:p>
      <w:r>
        <w:br w:type="page"/>
      </w:r>
    </w:p>
    <w:p>
      <w:pPr>
        <w:spacing w:before="360" w:after="160"/>
        <w:jc w:val="both"/>
        <w:pBdr>
          <w:bottom w:val="single" w:sz="6" w:space="4" w:color="2E5395"/>
        </w:pBdr>
      </w:pPr>
      <w:r>
        <w:rPr>
          <w:rFonts w:ascii="Times New Roman" w:hAnsi="Times New Roman" w:cs="Times New Roman"/>
          <w:b/>
          <w:sz w:val="24"/>
          <w:u w:val="none"/>
        </w:rPr>
        <w:t>1. Task Overview</w:t>
      </w:r>
    </w:p>
    <w:p>
      <w:pPr>
        <w:jc w:val="both"/>
      </w:pPr>
      <w:r>
        <w:rPr>
          <w:rFonts w:ascii="Times New Roman" w:hAnsi="Times New Roman" w:cs="Times New Roman"/>
          <w:b w:val="0"/>
          <w:sz w:val="24"/>
          <w:u w:val="none"/>
        </w:rPr>
        <w:t>This report documents the Week 3 deliverables assigned to the Project/Requirements Lead role under the team's Task Allocation Plan: collecting the actual documents the agent will read from (a mix of requirements, code and log files, ten to fifty in total) and producing a script that tags each one with where it came from. The associated deliverables are the Corpus/Source Register and src/ingestion/tag_provenance.py. This work fills a contract already defined by Member 2's (Application/Integration Lead) Week 3 retrieval pipeline: src/rag/chunking.py states directly, in its own documentation, that its SourceDocument input "is the contract Member 1's tag_provenance.py fills."</w:t>
      </w:r>
    </w:p>
    <w:p>
      <w:pPr>
        <w:jc w:val="both"/>
      </w:pPr>
      <w:r>
        <w:rPr>
          <w:rFonts w:ascii="Times New Roman" w:hAnsi="Times New Roman" w:cs="Times New Roman"/>
          <w:b w:val="0"/>
          <w:sz w:val="24"/>
          <w:u w:val="none"/>
        </w:rPr>
        <w:t>Both deliverables have been completed, committed to the repository on the member1-documents-the-agent-reads-from branch, and verified end to end against the real retrieval pipeline rather than assumed to be compatible.</w:t>
      </w:r>
    </w:p>
    <w:p>
      <w:pPr>
        <w:spacing w:before="360" w:after="160"/>
        <w:jc w:val="both"/>
        <w:pBdr>
          <w:bottom w:val="single" w:sz="6" w:space="4" w:color="2E5395"/>
        </w:pBdr>
      </w:pPr>
      <w:r>
        <w:rPr>
          <w:rFonts w:ascii="Times New Roman" w:hAnsi="Times New Roman" w:cs="Times New Roman"/>
          <w:b/>
          <w:sz w:val="24"/>
          <w:u w:val="none"/>
        </w:rPr>
        <w:t>2. Methodology</w:t>
      </w:r>
    </w:p>
    <w:p>
      <w:pPr>
        <w:jc w:val="both"/>
      </w:pPr>
      <w:r>
        <w:rPr>
          <w:rFonts w:ascii="Times New Roman" w:hAnsi="Times New Roman" w:cs="Times New Roman"/>
          <w:b w:val="0"/>
          <w:sz w:val="24"/>
          <w:u w:val="none"/>
        </w:rPr>
        <w:t>The corpus was assembled from an explicit, curated list of real files already present in the repository, rather than an unfiltered scan of the working tree, so that evidence, screenshots and repository internals could not be swept in by accident. Three constraints shaped the selection. First, the Charter's own Proposed Solution commits the team to evaluating the system "using our own team-owned codebase, its requirements documentation, and its test logs", and the assignment brief's feasible-data column for this use case names the same three categories. Second, the Week 1 architecture specification (Principle P4) requires the corpus to be frozen rather than a live view of a moving repository, and explicitly lists a second target repository as deliberately out of scope. Third, the corpus was placed in the existing top-level knowledge/ folder rather than a new docs/knowledge/ subfolder, matching both the assignment brief's own recommended repository structure and the folder already present in this repository.</w:t>
      </w:r>
    </w:p>
    <w:p>
      <w:pPr>
        <w:jc w:val="both"/>
      </w:pPr>
      <w:r>
        <w:rPr>
          <w:rFonts w:ascii="Times New Roman" w:hAnsi="Times New Roman" w:cs="Times New Roman"/>
          <w:b w:val="0"/>
          <w:sz w:val="24"/>
          <w:u w:val="none"/>
        </w:rPr>
        <w:t>Two categories of file required additional handling before they could be added to the corpus. Four of the requirements documents exist only as .docx files, which the retrieval pipeline cannot read directly: the project charter and user stories, the architecture specification, the AI engineering design notes, and the prompt specification and model selection note. Their text was extracted programmatically before being added. The corpus also had no genuine runtime log at the start of the week, so one was produced by actually executing the repository's real offline test suite and capturing its output, rather than leaving the log category empty or fabricating one.</w:t>
      </w:r>
    </w:p>
    <w:p>
      <w:pPr>
        <w:spacing w:before="360" w:after="160"/>
        <w:jc w:val="both"/>
        <w:pBdr>
          <w:bottom w:val="single" w:sz="6" w:space="4" w:color="2E5395"/>
        </w:pBdr>
      </w:pPr>
      <w:r>
        <w:rPr>
          <w:rFonts w:ascii="Times New Roman" w:hAnsi="Times New Roman" w:cs="Times New Roman"/>
          <w:b/>
          <w:sz w:val="24"/>
          <w:u w:val="none"/>
        </w:rPr>
        <w:t>3. Corpus Composition</w:t>
      </w:r>
    </w:p>
    <w:p>
      <w:pPr>
        <w:jc w:val="both"/>
      </w:pPr>
      <w:r>
        <w:rPr>
          <w:rFonts w:ascii="Times New Roman" w:hAnsi="Times New Roman" w:cs="Times New Roman"/>
          <w:b w:val="0"/>
          <w:sz w:val="24"/>
          <w:u w:val="none"/>
        </w:rPr>
        <w:t>Twenty-two real documents were collected in total, within the ten-to-fifty range specified in both the team's task allocation plan and the assignment brief.</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cs="Times New Roman"/>
                <w:b/>
                <w:sz w:val="24"/>
                <w:u w:val="none"/>
              </w:rPr>
              <w:t>Category</w:t>
            </w:r>
          </w:p>
        </w:tc>
        <w:tc>
          <w:tcPr>
            <w:tcW w:type="dxa" w:w="4680"/>
          </w:tcPr>
          <w:p>
            <w:r>
              <w:rPr>
                <w:rFonts w:ascii="Times New Roman" w:hAnsi="Times New Roman" w:cs="Times New Roman"/>
                <w:b/>
                <w:sz w:val="24"/>
                <w:u w:val="none"/>
              </w:rPr>
              <w:t>Count and composition</w:t>
            </w:r>
          </w:p>
        </w:tc>
      </w:tr>
      <w:tr>
        <w:tc>
          <w:tcPr>
            <w:tcW w:type="dxa" w:w="4680"/>
          </w:tcPr>
          <w:p>
            <w:pPr>
              <w:jc w:val="left"/>
            </w:pPr>
            <w:r>
              <w:rPr>
                <w:rFonts w:ascii="Times New Roman" w:hAnsi="Times New Roman" w:cs="Times New Roman"/>
                <w:b/>
                <w:sz w:val="21"/>
                <w:u w:val="none"/>
              </w:rPr>
              <w:t>Requirement</w:t>
            </w:r>
          </w:p>
        </w:tc>
        <w:tc>
          <w:tcPr>
            <w:tcW w:type="dxa" w:w="4680"/>
          </w:tcPr>
          <w:p>
            <w:pPr>
              <w:jc w:val="both"/>
            </w:pPr>
            <w:r>
              <w:rPr>
                <w:rFonts w:ascii="Times New Roman" w:hAnsi="Times New Roman" w:cs="Times New Roman"/>
                <w:b w:val="0"/>
                <w:sz w:val="21"/>
                <w:u w:val="none"/>
              </w:rPr>
              <w:t>8: the project charter and user stories; the Week 1 architecture specification; the AI engineering design notes; the prompt specification; the model selection note; both versions of the propose_action prompt; the Week 2 traceability notes.</w:t>
            </w:r>
          </w:p>
        </w:tc>
      </w:tr>
      <w:tr>
        <w:tc>
          <w:tcPr>
            <w:tcW w:type="dxa" w:w="4680"/>
          </w:tcPr>
          <w:p>
            <w:pPr>
              <w:jc w:val="left"/>
            </w:pPr>
            <w:r>
              <w:rPr>
                <w:rFonts w:ascii="Times New Roman" w:hAnsi="Times New Roman" w:cs="Times New Roman"/>
                <w:b/>
                <w:sz w:val="21"/>
                <w:u w:val="none"/>
              </w:rPr>
              <w:t>Code</w:t>
            </w:r>
          </w:p>
        </w:tc>
        <w:tc>
          <w:tcPr>
            <w:tcW w:type="dxa" w:w="4680"/>
          </w:tcPr>
          <w:p>
            <w:pPr>
              <w:jc w:val="both"/>
            </w:pPr>
            <w:r>
              <w:rPr>
                <w:rFonts w:ascii="Times New Roman" w:hAnsi="Times New Roman" w:cs="Times New Roman"/>
                <w:b w:val="0"/>
                <w:sz w:val="21"/>
                <w:u w:val="none"/>
              </w:rPr>
              <w:t>11: the configuration loader; the model client; the domain model (types.py); the prompt loader; all three Week 3 retrieval modules (chunking, retriever, retrieval); both member smoke-test scripts; and two of the repository's test files.</w:t>
            </w:r>
          </w:p>
        </w:tc>
      </w:tr>
      <w:tr>
        <w:tc>
          <w:tcPr>
            <w:tcW w:type="dxa" w:w="4680"/>
          </w:tcPr>
          <w:p>
            <w:pPr>
              <w:jc w:val="left"/>
            </w:pPr>
            <w:r>
              <w:rPr>
                <w:rFonts w:ascii="Times New Roman" w:hAnsi="Times New Roman" w:cs="Times New Roman"/>
                <w:b/>
                <w:sz w:val="21"/>
                <w:u w:val="none"/>
              </w:rPr>
              <w:t>Log</w:t>
            </w:r>
          </w:p>
        </w:tc>
        <w:tc>
          <w:tcPr>
            <w:tcW w:type="dxa" w:w="4680"/>
          </w:tcPr>
          <w:p>
            <w:pPr>
              <w:jc w:val="both"/>
            </w:pPr>
            <w:r>
              <w:rPr>
                <w:rFonts w:ascii="Times New Roman" w:hAnsi="Times New Roman" w:cs="Times New Roman"/>
                <w:b w:val="0"/>
                <w:sz w:val="21"/>
                <w:u w:val="none"/>
              </w:rPr>
              <w:t>3: Member 4's (Quality/Security Lead) two real evaluation reports from Weeks 2 and 3, plus a genuine offline test-suite run captured by this week's script (46 tests, all passing).</w:t>
            </w:r>
          </w:p>
        </w:tc>
      </w:tr>
    </w:tbl>
    <w:p>
      <w:pPr>
        <w:jc w:val="both"/>
      </w:pPr>
      <w:r>
        <w:rPr>
          <w:rFonts w:ascii="Times New Roman" w:hAnsi="Times New Roman" w:cs="Times New Roman"/>
          <w:b w:val="0"/>
          <w:sz w:val="24"/>
          <w:u w:val="none"/>
        </w:rPr>
        <w:t>Every document is listed individually, with its original path, the type it was tagged with, who produced the original file, and a SHA-256 fingerprint of the extracted text, in knowledge/source-register.md (human-readable) and knowledge/source-register.json (machine-readable).</w:t>
      </w:r>
    </w:p>
    <w:p>
      <w:pPr>
        <w:spacing w:before="360" w:after="160"/>
        <w:jc w:val="both"/>
        <w:pBdr>
          <w:bottom w:val="single" w:sz="6" w:space="4" w:color="2E5395"/>
        </w:pBdr>
      </w:pPr>
      <w:r>
        <w:rPr>
          <w:rFonts w:ascii="Times New Roman" w:hAnsi="Times New Roman" w:cs="Times New Roman"/>
          <w:b/>
          <w:sz w:val="24"/>
          <w:u w:val="none"/>
        </w:rPr>
        <w:t>4. The Provenance Script (src/ingestion/tag_provenance.py)</w:t>
      </w:r>
    </w:p>
    <w:p>
      <w:pPr>
        <w:jc w:val="both"/>
      </w:pPr>
      <w:r>
        <w:rPr>
          <w:rFonts w:ascii="Times New Roman" w:hAnsi="Times New Roman" w:cs="Times New Roman"/>
          <w:b w:val="0"/>
          <w:sz w:val="24"/>
          <w:u w:val="none"/>
        </w:rPr>
        <w:t>The script reads the curated file list, confirms each file still exists at its recorded path, extracts plain text (including from .docx sources), and records for each document its original path, its document type, who produced it, a SHA-256 fingerprint, and the time it was collected. It separately executes the repository's real offline test suite as a live subprocess to capture the log document, rather than relying on a static or invented example. The output is written in three places: a plain-text copy of every document under knowledge/corpus/, organised by type; the JSON register, structured to match the SourceDocument type Member 2's pipeline already defines (source_path, doc_type, requirement_id); and the Markdown register, the human-readable Corpus/Source Register itself. The script also exposes load_documents_from_register(), the real replacement for the development-only load_documents_from_directory() that src/rag/retrieval.py names as a stand-in until this deliverable landed.</w:t>
      </w:r>
    </w:p>
    <w:p>
      <w:pPr>
        <w:jc w:val="both"/>
      </w:pPr>
      <w:r>
        <w:rPr>
          <w:rFonts w:ascii="Times New Roman" w:hAnsi="Times New Roman" w:cs="Times New Roman"/>
          <w:b w:val="0"/>
          <w:sz w:val="24"/>
          <w:u w:val="none"/>
        </w:rPr>
        <w:t>One design correction was made during development and is recorded here rather than silently fixed: an early version attempted to tag each document with a single requirement id by taking the first regex match found anywhere in its text. Because most of the collected documents span many requirements rather than one, this produced misleading matches (for example, a model name being read as a requirement id). Document-level requirement tagging was removed in favour of leaving it to the existing per-chunk detection already implemented in Member 2's chunking module, which operates on small, localised passages and is where a requirement id is actually meaningful.</w:t>
      </w:r>
    </w:p>
    <w:p>
      <w:pPr>
        <w:spacing w:before="360" w:after="160"/>
        <w:jc w:val="both"/>
        <w:pBdr>
          <w:bottom w:val="single" w:sz="6" w:space="4" w:color="2E5395"/>
        </w:pBdr>
      </w:pPr>
      <w:r>
        <w:rPr>
          <w:rFonts w:ascii="Times New Roman" w:hAnsi="Times New Roman" w:cs="Times New Roman"/>
          <w:b/>
          <w:sz w:val="24"/>
          <w:u w:val="none"/>
        </w:rPr>
        <w:t>5. Verification</w:t>
      </w:r>
    </w:p>
    <w:p>
      <w:pPr>
        <w:jc w:val="both"/>
      </w:pPr>
      <w:r>
        <w:rPr>
          <w:rFonts w:ascii="Times New Roman" w:hAnsi="Times New Roman" w:cs="Times New Roman"/>
          <w:b w:val="0"/>
          <w:sz w:val="24"/>
          <w:u w:val="none"/>
        </w:rPr>
        <w:t>Two independent checks were run against the real pipeline rather than treating a successful write to disk as sufficient evidence.</w:t>
      </w:r>
    </w:p>
    <w:p>
      <w:pPr>
        <w:ind w:left="432"/>
      </w:pPr>
      <w:r>
        <w:rPr>
          <w:rFonts w:ascii="Consolas" w:hAnsi="Consolas"/>
          <w:sz w:val="21"/>
        </w:rPr>
        <w:t>PS&gt; $env:PYTHONPATH = "src"</w:t>
      </w:r>
    </w:p>
    <w:p>
      <w:pPr>
        <w:ind w:left="432"/>
      </w:pPr>
      <w:r>
        <w:rPr>
          <w:rFonts w:ascii="Consolas" w:hAnsi="Consolas"/>
          <w:sz w:val="21"/>
        </w:rPr>
        <w:t>PS&gt; python src\ingestion\tag_provenance.py --verify</w:t>
      </w:r>
    </w:p>
    <w:p>
      <w:pPr>
        <w:jc w:val="both"/>
      </w:pPr>
      <w:r>
        <w:rPr>
          <w:rFonts w:ascii="Times New Roman" w:hAnsi="Times New Roman" w:cs="Times New Roman"/>
          <w:b w:val="0"/>
          <w:sz w:val="24"/>
          <w:u w:val="none"/>
        </w:rPr>
        <w:t>This regenerates the corpus and both registers from the curated source list, then loads the output back through build_retrieval_pipeline(). The run confirmed 22 documents indexed into 225 chunks, with a stable corpus fingerprint.</w:t>
      </w:r>
    </w:p>
    <w:p>
      <w:pPr>
        <w:ind w:left="432"/>
      </w:pPr>
      <w:r>
        <w:rPr>
          <w:rFonts w:ascii="Consolas" w:hAnsi="Consolas"/>
          <w:sz w:val="21"/>
        </w:rPr>
        <w:t>PS&gt; python scripts\member1_corpus_smoke.py</w:t>
      </w:r>
    </w:p>
    <w:p>
      <w:pPr>
        <w:jc w:val="both"/>
      </w:pPr>
      <w:r>
        <w:rPr>
          <w:rFonts w:ascii="Times New Roman" w:hAnsi="Times New Roman" w:cs="Times New Roman"/>
          <w:b w:val="0"/>
          <w:sz w:val="24"/>
          <w:u w:val="none"/>
        </w:rPr>
        <w:t>This second script, written to the same naming convention as the Week 2 smoke scripts, asks the indexed corpus five real questions about the project and checks the outcome against what is expected. Four questions with real answers in the corpus (for example, what propose_action must return when no grounded action can be determined) were answered correctly, each with the specific source file and excerpt cited. One deliberately unanswerable question, unrelated to the project, correctly returned not-in-corpus rather than a fabricated answer. All five results matched expectation on the first run.</w:t>
      </w:r>
    </w:p>
    <w:p>
      <w:pPr>
        <w:spacing w:before="360" w:after="160"/>
        <w:jc w:val="both"/>
        <w:pBdr>
          <w:bottom w:val="single" w:sz="6" w:space="4" w:color="2E5395"/>
        </w:pBdr>
      </w:pPr>
      <w:r>
        <w:rPr>
          <w:rFonts w:ascii="Times New Roman" w:hAnsi="Times New Roman" w:cs="Times New Roman"/>
          <w:b/>
          <w:sz w:val="24"/>
          <w:u w:val="none"/>
        </w:rPr>
        <w:t>6. Integration with the Retrieval Pipeline</w:t>
      </w:r>
    </w:p>
    <w:p>
      <w:pPr>
        <w:jc w:val="both"/>
      </w:pPr>
      <w:r>
        <w:rPr>
          <w:rFonts w:ascii="Times New Roman" w:hAnsi="Times New Roman" w:cs="Times New Roman"/>
          <w:b w:val="0"/>
          <w:sz w:val="24"/>
          <w:u w:val="none"/>
        </w:rPr>
        <w:t>The corpus produced this week is the input Member 2's retrieval pipeline was built to consume, not a parallel or independent artefact. build_retrieval_pipeline(), called with the output of load_documents_from_register(), indexes the corpus and answers queries through the same not-in-corpus decision logic exercised in Member 4's fifteen-case Week 3 evaluation. This closes the dependency src/rag/retrieval.py documents directly in its own code: the development-only directory loader it shipped with is now superseded by a real, tagged register.</w:t>
      </w:r>
    </w:p>
    <w:p>
      <w:pPr>
        <w:spacing w:before="360" w:after="160"/>
        <w:jc w:val="both"/>
        <w:pBdr>
          <w:bottom w:val="single" w:sz="6" w:space="4" w:color="2E5395"/>
        </w:pBdr>
      </w:pPr>
      <w:r>
        <w:rPr>
          <w:rFonts w:ascii="Times New Roman" w:hAnsi="Times New Roman" w:cs="Times New Roman"/>
          <w:b/>
          <w:sz w:val="24"/>
          <w:u w:val="none"/>
        </w:rPr>
        <w:t>7. Conclusion and Next Steps</w:t>
      </w:r>
    </w:p>
    <w:p>
      <w:pPr>
        <w:jc w:val="both"/>
      </w:pPr>
      <w:r>
        <w:rPr>
          <w:rFonts w:ascii="Times New Roman" w:hAnsi="Times New Roman" w:cs="Times New Roman"/>
          <w:b w:val="0"/>
          <w:sz w:val="24"/>
          <w:u w:val="none"/>
        </w:rPr>
        <w:t>Both Week 3 deliverables are complete, committed to the member1-documents-the-agent-reads-from branch, and verified against the real retrieval pipeline rather than assumed to be correct. The corpus/source register and the provenance script are ready to be pushed to the shared repository. Two items are recommended for confirmation with the wider team before the Week 3 submission is considered complete: whether a dedicated RAG architecture diagram has been produced, and whether the Week 3 progress report required under Section 8 of the assignment brief has been prepared by the group leader, since neither was located in the repository at the time of writing.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