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943600" cy="1088154"/>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5943600" cy="1088154"/>
                    </a:xfrm>
                    <a:prstGeom prst="rect"/>
                  </pic:spPr>
                </pic:pic>
              </a:graphicData>
            </a:graphic>
          </wp:inline>
        </w:drawing>
      </w:r>
    </w:p>
    <w:p>
      <w:pPr>
        <w:jc w:val="center"/>
      </w:pPr>
      <w:r>
        <w:rPr>
          <w:rFonts w:ascii="Times New Roman" w:hAnsi="Times New Roman" w:cs="Times New Roman"/>
          <w:b w:val="0"/>
          <w:sz w:val="24"/>
          <w:u w:val="none"/>
        </w:rPr>
        <w:t>COLLEGE OF COMPUTING AND INFORMATION SCIENCES</w:t>
      </w:r>
    </w:p>
    <w:p>
      <w:pPr>
        <w:jc w:val="center"/>
      </w:pPr>
      <w:r>
        <w:rPr>
          <w:rFonts w:ascii="Times New Roman" w:hAnsi="Times New Roman" w:cs="Times New Roman"/>
          <w:b w:val="0"/>
          <w:sz w:val="24"/>
          <w:u w:val="none"/>
        </w:rPr>
        <w:t>SCHOOL OF COMPUTING AND INFORMATICS TECHNOLOGY</w:t>
      </w:r>
    </w:p>
    <w:p>
      <w:pPr>
        <w:jc w:val="center"/>
      </w:pPr>
      <w:r>
        <w:rPr>
          <w:rFonts w:ascii="Times New Roman" w:hAnsi="Times New Roman" w:cs="Times New Roman"/>
          <w:b w:val="0"/>
          <w:sz w:val="24"/>
          <w:u w:val="none"/>
        </w:rPr>
        <w:t>DEPARTMENT OF NETWORKS</w:t>
      </w:r>
    </w:p>
    <w:p>
      <w:pPr>
        <w:jc w:val="center"/>
      </w:pPr>
    </w:p>
    <w:p>
      <w:pPr>
        <w:jc w:val="center"/>
      </w:pPr>
      <w:r>
        <w:rPr>
          <w:rFonts w:ascii="Times New Roman" w:hAnsi="Times New Roman" w:cs="Times New Roman"/>
          <w:b w:val="0"/>
          <w:sz w:val="24"/>
          <w:u w:val="none"/>
        </w:rPr>
        <w:t>BSE4104</w:t>
      </w:r>
      <w:r>
        <w:rPr>
          <w:rFonts w:ascii="Times New Roman" w:hAnsi="Times New Roman" w:cs="Times New Roman"/>
          <w:b w:val="0"/>
          <w:sz w:val="24"/>
          <w:u w:val="none"/>
        </w:rPr>
        <w:t>: Emerging Trends in Software Engineering</w:t>
      </w:r>
      <w:r>
        <w:br/>
      </w:r>
      <w:r>
        <w:rPr>
          <w:rFonts w:ascii="Times New Roman" w:hAnsi="Times New Roman" w:cs="Times New Roman"/>
          <w:b w:val="0"/>
          <w:sz w:val="24"/>
          <w:u w:val="none"/>
        </w:rPr>
        <w:t>AI-Native and Agentic Engineering Capstone</w:t>
      </w:r>
    </w:p>
    <w:p>
      <w:pPr>
        <w:jc w:val="center"/>
      </w:pPr>
      <w:r>
        <w:rPr>
          <w:rFonts w:ascii="Times New Roman" w:hAnsi="Times New Roman" w:cs="Times New Roman"/>
          <w:b/>
          <w:sz w:val="24"/>
          <w:u w:val="single"/>
        </w:rPr>
        <w:t>Project: Software-Engineering QA Agent</w:t>
      </w:r>
    </w:p>
    <w:p>
      <w:pPr>
        <w:jc w:val="center"/>
      </w:pPr>
    </w:p>
    <w:p>
      <w:pPr>
        <w:jc w:val="center"/>
      </w:pPr>
      <w:r>
        <w:rPr>
          <w:rFonts w:ascii="Times New Roman" w:hAnsi="Times New Roman" w:cs="Times New Roman"/>
          <w:b/>
          <w:sz w:val="24"/>
          <w:u w:val="none"/>
        </w:rPr>
        <w:t>MEMBER 1: WEEK 6 CONTRIBUTION REPORT</w:t>
      </w:r>
    </w:p>
    <w:p>
      <w:pPr>
        <w:jc w:val="center"/>
      </w:pPr>
      <w:r>
        <w:rPr>
          <w:rFonts w:ascii="Times New Roman" w:hAnsi="Times New Roman" w:cs="Times New Roman"/>
          <w:b/>
          <w:sz w:val="24"/>
          <w:u w:val="none"/>
        </w:rPr>
        <w:t>Memory Description Alignment and Memory Record Schema</w:t>
      </w:r>
    </w:p>
    <w:p>
      <w:pPr>
        <w:jc w:val="center"/>
      </w:pPr>
      <w:r>
        <w:rPr>
          <w:rFonts w:ascii="Times New Roman" w:hAnsi="Times New Roman" w:cs="Times New Roman"/>
          <w:b w:val="0"/>
          <w:sz w:val="24"/>
          <w:u w:val="none"/>
        </w:rPr>
        <w:t>Reporting Period: 5 October - 9 October 2026</w:t>
      </w:r>
    </w:p>
    <w:p>
      <w:pPr>
        <w:jc w:val="center"/>
      </w:pPr>
    </w:p>
    <w:p>
      <w:pPr>
        <w:jc w:val="center"/>
      </w:pPr>
      <w:r>
        <w:rPr>
          <w:rFonts w:ascii="Times New Roman" w:hAnsi="Times New Roman" w:cs="Times New Roman"/>
          <w:b w:val="0"/>
          <w:sz w:val="24"/>
          <w:u w:val="none"/>
        </w:rPr>
        <w:t>Group: J</w:t>
      </w:r>
    </w:p>
    <w:p>
      <w:pPr>
        <w:jc w:val="center"/>
      </w:pPr>
      <w:r>
        <w:rPr>
          <w:rFonts w:ascii="Times New Roman" w:hAnsi="Times New Roman" w:cs="Times New Roman"/>
          <w:b w:val="0"/>
          <w:sz w:val="24"/>
          <w:u w:val="none"/>
        </w:rPr>
        <w:t>Prepared by: Amabe Junior Humphrey (Member 1, Project/Requirements Lead)</w:t>
      </w:r>
    </w:p>
    <w:p>
      <w:pPr>
        <w:jc w:val="center"/>
      </w:pPr>
    </w:p>
    <w:p>
      <w:pPr>
        <w:jc w:val="center"/>
      </w:pP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
              <w:rPr>
                <w:rFonts w:ascii="Times New Roman" w:hAnsi="Times New Roman" w:cs="Times New Roman"/>
                <w:b/>
                <w:sz w:val="24"/>
                <w:u w:val="none"/>
              </w:rPr>
              <w:t>NAME</w:t>
            </w:r>
          </w:p>
        </w:tc>
        <w:tc>
          <w:tcPr>
            <w:tcW w:type="dxa" w:w="3120"/>
          </w:tcPr>
          <w:p>
            <w:pPr>
              <w:jc w:val="center"/>
            </w:pPr>
            <w:r/>
            <w:r>
              <w:rPr>
                <w:rFonts w:ascii="Times New Roman" w:hAnsi="Times New Roman" w:cs="Times New Roman"/>
                <w:b/>
                <w:sz w:val="24"/>
                <w:u w:val="none"/>
              </w:rPr>
              <w:t>STUDENT NUMBER</w:t>
            </w:r>
          </w:p>
        </w:tc>
        <w:tc>
          <w:tcPr>
            <w:tcW w:type="dxa" w:w="3120"/>
          </w:tcPr>
          <w:p>
            <w:pPr>
              <w:jc w:val="center"/>
            </w:pPr>
            <w:r/>
            <w:r>
              <w:rPr>
                <w:rFonts w:ascii="Times New Roman" w:hAnsi="Times New Roman" w:cs="Times New Roman"/>
                <w:b/>
                <w:sz w:val="24"/>
                <w:u w:val="none"/>
              </w:rPr>
              <w:t>REGISTRATION NUMBER</w:t>
            </w:r>
          </w:p>
        </w:tc>
      </w:tr>
      <w:tr>
        <w:tc>
          <w:tcPr>
            <w:tcW w:type="dxa" w:w="3120"/>
          </w:tcPr>
          <w:p>
            <w:pPr>
              <w:jc w:val="center"/>
            </w:pPr>
            <w:r/>
            <w:r>
              <w:rPr>
                <w:rFonts w:ascii="Times New Roman" w:hAnsi="Times New Roman" w:cs="Times New Roman"/>
                <w:b w:val="0"/>
                <w:sz w:val="24"/>
                <w:u w:val="none"/>
              </w:rPr>
              <w:t>Karagwa Ann Treasure</w:t>
            </w:r>
          </w:p>
        </w:tc>
        <w:tc>
          <w:tcPr>
            <w:tcW w:type="dxa" w:w="3120"/>
          </w:tcPr>
          <w:p>
            <w:pPr>
              <w:jc w:val="center"/>
            </w:pPr>
            <w:r/>
            <w:r>
              <w:rPr>
                <w:rFonts w:ascii="Times New Roman" w:hAnsi="Times New Roman" w:cs="Times New Roman"/>
                <w:b w:val="0"/>
                <w:sz w:val="24"/>
                <w:u w:val="none"/>
              </w:rPr>
              <w:t>2300709034</w:t>
            </w:r>
          </w:p>
        </w:tc>
        <w:tc>
          <w:tcPr>
            <w:tcW w:type="dxa" w:w="3120"/>
          </w:tcPr>
          <w:p>
            <w:pPr>
              <w:jc w:val="center"/>
            </w:pPr>
            <w:r/>
            <w:r>
              <w:rPr>
                <w:rFonts w:ascii="Times New Roman" w:hAnsi="Times New Roman" w:cs="Times New Roman"/>
                <w:b w:val="0"/>
                <w:sz w:val="24"/>
                <w:u w:val="none"/>
              </w:rPr>
              <w:t>23/U/09034/PS</w:t>
            </w:r>
          </w:p>
        </w:tc>
      </w:tr>
      <w:tr>
        <w:tc>
          <w:tcPr>
            <w:tcW w:type="dxa" w:w="3120"/>
          </w:tcPr>
          <w:p>
            <w:pPr>
              <w:jc w:val="center"/>
            </w:pPr>
            <w:r/>
            <w:r>
              <w:rPr>
                <w:rFonts w:ascii="Times New Roman" w:hAnsi="Times New Roman" w:cs="Times New Roman"/>
                <w:b w:val="0"/>
                <w:sz w:val="24"/>
                <w:u w:val="none"/>
              </w:rPr>
              <w:t>Ayan Mustafa Abdirahman</w:t>
            </w:r>
          </w:p>
        </w:tc>
        <w:tc>
          <w:tcPr>
            <w:tcW w:type="dxa" w:w="3120"/>
          </w:tcPr>
          <w:p>
            <w:pPr>
              <w:jc w:val="center"/>
            </w:pPr>
            <w:r/>
            <w:r>
              <w:rPr>
                <w:rFonts w:ascii="Times New Roman" w:hAnsi="Times New Roman" w:cs="Times New Roman"/>
                <w:b w:val="0"/>
                <w:sz w:val="24"/>
                <w:u w:val="none"/>
              </w:rPr>
              <w:t>2300722948</w:t>
            </w:r>
          </w:p>
        </w:tc>
        <w:tc>
          <w:tcPr>
            <w:tcW w:type="dxa" w:w="3120"/>
          </w:tcPr>
          <w:p>
            <w:pPr>
              <w:jc w:val="center"/>
            </w:pPr>
            <w:r/>
            <w:r>
              <w:rPr>
                <w:rFonts w:ascii="Times New Roman" w:hAnsi="Times New Roman" w:cs="Times New Roman"/>
                <w:b w:val="0"/>
                <w:sz w:val="24"/>
                <w:u w:val="none"/>
              </w:rPr>
              <w:t>23/X/22948/EVE</w:t>
            </w:r>
          </w:p>
        </w:tc>
      </w:tr>
      <w:tr>
        <w:tc>
          <w:tcPr>
            <w:tcW w:type="dxa" w:w="3120"/>
          </w:tcPr>
          <w:p>
            <w:pPr>
              <w:jc w:val="center"/>
            </w:pPr>
            <w:r/>
            <w:r>
              <w:rPr>
                <w:rFonts w:ascii="Times New Roman" w:hAnsi="Times New Roman" w:cs="Times New Roman"/>
                <w:b w:val="0"/>
                <w:sz w:val="24"/>
                <w:u w:val="none"/>
              </w:rPr>
              <w:t>Wanyana Selina Masembe</w:t>
            </w:r>
          </w:p>
        </w:tc>
        <w:tc>
          <w:tcPr>
            <w:tcW w:type="dxa" w:w="3120"/>
          </w:tcPr>
          <w:p>
            <w:pPr>
              <w:jc w:val="center"/>
            </w:pPr>
            <w:r/>
            <w:r>
              <w:rPr>
                <w:rFonts w:ascii="Times New Roman" w:hAnsi="Times New Roman" w:cs="Times New Roman"/>
                <w:b w:val="0"/>
                <w:sz w:val="24"/>
                <w:u w:val="none"/>
              </w:rPr>
              <w:t>2300701529</w:t>
            </w:r>
          </w:p>
        </w:tc>
        <w:tc>
          <w:tcPr>
            <w:tcW w:type="dxa" w:w="3120"/>
          </w:tcPr>
          <w:p>
            <w:pPr>
              <w:jc w:val="center"/>
            </w:pPr>
            <w:r/>
            <w:r>
              <w:rPr>
                <w:rFonts w:ascii="Times New Roman" w:hAnsi="Times New Roman" w:cs="Times New Roman"/>
                <w:b w:val="0"/>
                <w:sz w:val="24"/>
                <w:u w:val="none"/>
              </w:rPr>
              <w:t>23/U/1529</w:t>
            </w:r>
          </w:p>
        </w:tc>
      </w:tr>
      <w:tr>
        <w:tc>
          <w:tcPr>
            <w:tcW w:type="dxa" w:w="3120"/>
          </w:tcPr>
          <w:p>
            <w:pPr>
              <w:jc w:val="center"/>
            </w:pPr>
            <w:r/>
            <w:r>
              <w:rPr>
                <w:rFonts w:ascii="Times New Roman" w:hAnsi="Times New Roman" w:cs="Times New Roman"/>
                <w:b w:val="0"/>
                <w:sz w:val="24"/>
                <w:u w:val="none"/>
              </w:rPr>
              <w:t>Amabe Junior Humphrey</w:t>
            </w:r>
          </w:p>
        </w:tc>
        <w:tc>
          <w:tcPr>
            <w:tcW w:type="dxa" w:w="3120"/>
          </w:tcPr>
          <w:p>
            <w:pPr>
              <w:jc w:val="center"/>
            </w:pPr>
            <w:r/>
            <w:r>
              <w:rPr>
                <w:rFonts w:ascii="Times New Roman" w:hAnsi="Times New Roman" w:cs="Times New Roman"/>
                <w:b w:val="0"/>
                <w:sz w:val="24"/>
                <w:u w:val="none"/>
              </w:rPr>
              <w:t>2300705942</w:t>
            </w:r>
          </w:p>
        </w:tc>
        <w:tc>
          <w:tcPr>
            <w:tcW w:type="dxa" w:w="3120"/>
          </w:tcPr>
          <w:p>
            <w:pPr>
              <w:jc w:val="center"/>
            </w:pPr>
            <w:r/>
            <w:r>
              <w:rPr>
                <w:rFonts w:ascii="Times New Roman" w:hAnsi="Times New Roman" w:cs="Times New Roman"/>
                <w:b w:val="0"/>
                <w:sz w:val="24"/>
                <w:u w:val="none"/>
              </w:rPr>
              <w:t>23/U/05942/PS</w:t>
            </w:r>
          </w:p>
        </w:tc>
      </w:tr>
      <w:tr>
        <w:tc>
          <w:tcPr>
            <w:tcW w:type="dxa" w:w="3120"/>
          </w:tcPr>
          <w:p>
            <w:pPr>
              <w:jc w:val="center"/>
            </w:pPr>
            <w:r/>
            <w:r>
              <w:rPr>
                <w:rFonts w:ascii="Times New Roman" w:hAnsi="Times New Roman" w:cs="Times New Roman"/>
                <w:b w:val="0"/>
                <w:sz w:val="24"/>
                <w:u w:val="none"/>
              </w:rPr>
              <w:t>Akanga Andrew</w:t>
            </w:r>
          </w:p>
        </w:tc>
        <w:tc>
          <w:tcPr>
            <w:tcW w:type="dxa" w:w="3120"/>
          </w:tcPr>
          <w:p>
            <w:pPr>
              <w:jc w:val="center"/>
            </w:pPr>
            <w:r/>
            <w:r>
              <w:rPr>
                <w:rFonts w:ascii="Times New Roman" w:hAnsi="Times New Roman" w:cs="Times New Roman"/>
                <w:b w:val="0"/>
                <w:sz w:val="24"/>
                <w:u w:val="none"/>
              </w:rPr>
              <w:t>2300705555</w:t>
            </w:r>
          </w:p>
        </w:tc>
        <w:tc>
          <w:tcPr>
            <w:tcW w:type="dxa" w:w="3120"/>
          </w:tcPr>
          <w:p>
            <w:pPr>
              <w:jc w:val="center"/>
            </w:pPr>
            <w:r/>
            <w:r>
              <w:rPr>
                <w:rFonts w:ascii="Times New Roman" w:hAnsi="Times New Roman" w:cs="Times New Roman"/>
                <w:b w:val="0"/>
                <w:sz w:val="24"/>
                <w:u w:val="none"/>
              </w:rPr>
              <w:t>23/U/05555/PS</w:t>
            </w:r>
          </w:p>
        </w:tc>
      </w:tr>
    </w:tbl>
    <w:p>
      <w:r>
        <w:br w:type="page"/>
      </w:r>
    </w:p>
    <w:p>
      <w:pPr>
        <w:spacing w:before="360" w:after="160"/>
        <w:jc w:val="both"/>
        <w:pBdr>
          <w:bottom w:val="single" w:sz="6" w:space="4" w:color="2E5395"/>
        </w:pBdr>
      </w:pPr>
      <w:r>
        <w:rPr>
          <w:rFonts w:ascii="Times New Roman" w:hAnsi="Times New Roman" w:cs="Times New Roman"/>
          <w:b/>
          <w:sz w:val="24"/>
          <w:u w:val="none"/>
        </w:rPr>
        <w:t>1. Task Overview</w:t>
      </w:r>
    </w:p>
    <w:p>
      <w:pPr>
        <w:jc w:val="both"/>
      </w:pPr>
      <w:r>
        <w:rPr>
          <w:rFonts w:ascii="Times New Roman" w:hAnsi="Times New Roman" w:cs="Times New Roman"/>
          <w:b w:val="0"/>
          <w:sz w:val="24"/>
          <w:u w:val="none"/>
        </w:rPr>
        <w:t>This report documents the Week 6 deliverables assigned to the Project/Requirements Lead role under the team's Task Allocation Plan: finalise the one-sentence description of what the agent remembers, make sure that description matches across all project documents, and write the code that defines what a memory record looks like. The associated deliverables are the finalised memory description and src/memory/schema.py.</w:t>
      </w:r>
    </w:p>
    <w:p>
      <w:pPr>
        <w:jc w:val="both"/>
      </w:pPr>
      <w:r>
        <w:rPr>
          <w:rFonts w:ascii="Times New Roman" w:hAnsi="Times New Roman" w:cs="Times New Roman"/>
          <w:b w:val="0"/>
          <w:sz w:val="24"/>
          <w:u w:val="none"/>
        </w:rPr>
        <w:t>The task has no upstream dependency on other members. The memory description and the record definition are the starting point for the work that follows: the store that saves and loads records, and the wiring of memory into the agent's context and its approval and rejection handling, which belong to other roles. Before this week, the only memory type in the repository was MemoryEntry in src/models/types.py, defined in Week 2. It holds a module, a test identifier, a status, and a timestamp, and nothing in the code uses it. It also assumes a test identifier exists, whereas a proposal has no test identifier until a test has actually been written.</w:t>
      </w:r>
    </w:p>
    <w:p>
      <w:pPr>
        <w:jc w:val="both"/>
      </w:pPr>
      <w:r>
        <w:rPr>
          <w:rFonts w:ascii="Times New Roman" w:hAnsi="Times New Roman" w:cs="Times New Roman"/>
          <w:b w:val="0"/>
          <w:sz w:val="24"/>
          <w:u w:val="none"/>
        </w:rPr>
        <w:t>All deliverables are complete: the finalised sentence, src/memory/schema.py with its package file, a test file, a demonstration script, an audit document recording the wording of the memory description in every document, and the matching edit to the project charter.</w:t>
      </w:r>
    </w:p>
    <w:p>
      <w:pPr>
        <w:spacing w:before="360" w:after="160"/>
        <w:jc w:val="both"/>
        <w:pBdr>
          <w:bottom w:val="single" w:sz="6" w:space="4" w:color="2E5395"/>
        </w:pBdr>
      </w:pPr>
      <w:r>
        <w:rPr>
          <w:rFonts w:ascii="Times New Roman" w:hAnsi="Times New Roman" w:cs="Times New Roman"/>
          <w:b/>
          <w:sz w:val="24"/>
          <w:u w:val="none"/>
        </w:rPr>
        <w:t>2. The Finalised Memory Description</w:t>
      </w:r>
    </w:p>
    <w:p>
      <w:pPr>
        <w:jc w:val="both"/>
      </w:pPr>
      <w:r>
        <w:rPr>
          <w:rFonts w:ascii="Times New Roman" w:hAnsi="Times New Roman" w:cs="Times New Roman"/>
          <w:b w:val="0"/>
          <w:sz w:val="24"/>
          <w:u w:val="none"/>
        </w:rPr>
        <w:t>The sentence below is now the single statement of what the agent remembers:</w:t>
      </w:r>
    </w:p>
    <w:p>
      <w:pPr>
        <w:jc w:val="both"/>
      </w:pPr>
      <w:r>
        <w:rPr>
          <w:rFonts w:ascii="Times New Roman" w:hAnsi="Times New Roman" w:cs="Times New Roman"/>
          <w:b w:val="0"/>
          <w:sz w:val="24"/>
          <w:u w:val="none"/>
        </w:rPr>
        <w:t>"The agent remembers, for each repository module, which tests it has proposed, which of those were run, and which a human explicitly rejected, so that it never repeats a proposal a developer has already seen or declined; it does not remember or reuse past diagnoses."</w:t>
      </w:r>
    </w:p>
    <w:p>
      <w:pPr>
        <w:jc w:val="both"/>
      </w:pPr>
      <w:r>
        <w:rPr>
          <w:rFonts w:ascii="Times New Roman" w:hAnsi="Times New Roman" w:cs="Times New Roman"/>
          <w:b w:val="0"/>
          <w:sz w:val="24"/>
          <w:u w:val="none"/>
        </w:rPr>
        <w:t>The sentence is held in code as MEMORY_DESCRIPTION in src/memory/schema.py, and a test fails if any of its promises (per repository module, proposed, run, rejected by a human, never repeats a seen or declined proposal, no diagnoses) is removed. Keeping it in code gives documents one text to copy and gives the code a text it can be checked against.</w:t>
      </w:r>
    </w:p>
    <w:p>
      <w:pPr>
        <w:spacing w:before="360" w:after="160"/>
        <w:jc w:val="both"/>
        <w:pBdr>
          <w:bottom w:val="single" w:sz="6" w:space="4" w:color="2E5395"/>
        </w:pBdr>
      </w:pPr>
      <w:r>
        <w:rPr>
          <w:rFonts w:ascii="Times New Roman" w:hAnsi="Times New Roman" w:cs="Times New Roman"/>
          <w:b/>
          <w:sz w:val="24"/>
          <w:u w:val="none"/>
        </w:rPr>
        <w:t>3. Methodology: Wording Audit</w:t>
      </w:r>
    </w:p>
    <w:p>
      <w:pPr>
        <w:jc w:val="both"/>
      </w:pPr>
      <w:r>
        <w:rPr>
          <w:rFonts w:ascii="Times New Roman" w:hAnsi="Times New Roman" w:cs="Times New Roman"/>
          <w:b w:val="0"/>
          <w:sz w:val="24"/>
          <w:u w:val="none"/>
        </w:rPr>
        <w:t>The wording of the memory description was compared across every document that states it. The charter's Scope item (v) is the fullest version and uses two sentences. The AI Boundary Matrix row in the Week 1 quality and security documentation states the same promises in two shorter sentences and marks the capability as "Limited", with an open item on how long memory is retained. The Prompt Specification carries a shorter "Memory" line, which appears twice, and omits both "by a human" and "per repository module". The Member 3 AI Engineering deliverables document describes the memory input as "which tests have already been proposed, run, or rejected for this module, from the memory store", which also drops "by a human" and does not say the agent never repeats these proposals. The Week 5 group report states that Week 6 adds one justified persistent-memory use case, and the README lists the memory row as upcoming.</w:t>
      </w:r>
    </w:p>
    <w:p>
      <w:pPr>
        <w:jc w:val="both"/>
      </w:pPr>
      <w:r>
        <w:rPr>
          <w:rFonts w:ascii="Times New Roman" w:hAnsi="Times New Roman" w:cs="Times New Roman"/>
          <w:b w:val="0"/>
          <w:sz w:val="24"/>
          <w:u w:val="none"/>
        </w:rPr>
        <w:t>The differences are small but material. Dropping "by a human" turns a rule about explicit human decisions into a rule about any rejection, and leaving out the promise that the agent never repeats a proposal removes the one outcome the memory exists to produce.</w:t>
      </w:r>
    </w:p>
    <w:p>
      <w:pPr>
        <w:jc w:val="both"/>
      </w:pPr>
      <w:r>
        <w:rPr>
          <w:rFonts w:ascii="Times New Roman" w:hAnsi="Times New Roman" w:cs="Times New Roman"/>
          <w:b w:val="0"/>
          <w:sz w:val="24"/>
          <w:u w:val="none"/>
        </w:rPr>
        <w:t>Only the charter, which belongs to this role, was edited: Scope item (v) now carries the finalised sentence after the lead "One justified persistent-memory use case:". The documents owned by other members were not edited. Exact replacement wording for each is recorded in docs/requirements/week6-memory-description-audit.md so that each owner can apply it.</w:t>
      </w:r>
    </w:p>
    <w:p>
      <w:pPr>
        <w:spacing w:before="360" w:after="160"/>
        <w:jc w:val="both"/>
        <w:pBdr>
          <w:bottom w:val="single" w:sz="6" w:space="4" w:color="2E5395"/>
        </w:pBdr>
      </w:pPr>
      <w:r>
        <w:rPr>
          <w:rFonts w:ascii="Times New Roman" w:hAnsi="Times New Roman" w:cs="Times New Roman"/>
          <w:b/>
          <w:sz w:val="24"/>
          <w:u w:val="none"/>
        </w:rPr>
        <w:t>4. The Memory Record (src/memory/schema.py)</w:t>
      </w:r>
    </w:p>
    <w:p>
      <w:pPr>
        <w:jc w:val="both"/>
      </w:pPr>
      <w:r>
        <w:rPr>
          <w:rFonts w:ascii="Times New Roman" w:hAnsi="Times New Roman" w:cs="Times New Roman"/>
          <w:b w:val="0"/>
          <w:sz w:val="24"/>
          <w:u w:val="none"/>
        </w:rPr>
        <w:t>The module defines ProposalMemoryRecord, a frozen record with one entry per proposal. It stores exactly: the module, a proposal key, the proposal title, an optional requirement identifier, an optional target, a status, a proposed timestamp, a run timestamp, the test node identifier if the test was run, a rejected timestamp, and who rejected it. It has no field for diagnoses, tool output, evidence text, rationale, or free-form notes, and from_dict rejects any extra field. A guard test fails if the field set changes, so widening memory beyond the finalised sentence requires a visible, deliberate edit.</w:t>
      </w:r>
    </w:p>
    <w:p>
      <w:pPr>
        <w:jc w:val="both"/>
      </w:pPr>
      <w:r>
        <w:rPr>
          <w:rFonts w:ascii="Times New Roman" w:hAnsi="Times New Roman" w:cs="Times New Roman"/>
          <w:b w:val="0"/>
          <w:sz w:val="24"/>
          <w:u w:val="none"/>
        </w:rPr>
        <w:t>A proposal's identity is a proposal key: a short hash of the normalised module, an anchor, and the normalised title. The anchor is the requirement identifier if there is one, otherwise the target, otherwise nothing. Normalisation lowercases text, flattens punctuation and spacing, and writes the module as a repository-relative path with forward slashes. Absolute paths, paths containing "..", and empty paths are rejected. Two proposals with the same module, anchor, and title after normalisation therefore receive the same key, while a different module, anchor, or title produces a different key.</w:t>
      </w:r>
    </w:p>
    <w:p>
      <w:pPr>
        <w:jc w:val="both"/>
      </w:pPr>
      <w:r>
        <w:rPr>
          <w:rFonts w:ascii="Times New Roman" w:hAnsi="Times New Roman" w:cs="Times New Roman"/>
          <w:b w:val="0"/>
          <w:sz w:val="24"/>
          <w:u w:val="none"/>
        </w:rPr>
        <w:t>The key matches exactly after normalisation, so a genuine paraphrase of a title is treated as a new proposal. This limit is recorded in the module's documentation and in a test. The deterministic key is the backstop for the promise that the agent never repeats a proposal. It is not the only defence: the prompt should also show the model its earlier proposals for the module, which handles paraphrases that the key cannot.</w:t>
      </w:r>
    </w:p>
    <w:p>
      <w:pPr>
        <w:jc w:val="both"/>
      </w:pPr>
      <w:r>
        <w:rPr>
          <w:rFonts w:ascii="Times New Roman" w:hAnsi="Times New Roman" w:cs="Times New Roman"/>
          <w:b w:val="0"/>
          <w:sz w:val="24"/>
          <w:u w:val="none"/>
        </w:rPr>
        <w:t>A record moves through three statuses, reusing the existing ProposalMemoryStatus values: PROPOSED, RUN, and REJECTED_BY_HUMAN. A PROPOSED record can be marked run, and a PROPOSED or RUN record can be marked rejected, in which case any run history is kept. A rejection is final and cannot be undone or repeated. Moves produce a new record rather than changing the old one, timestamps must be timezone-aware and may not go backwards, and a rejection must name the human who made it. The module uses only the standard library and performs no input or output. to_dict and from_dict convert a record to and from plain JSON values, so that a later store can follow the team's existing convention of keeping state in JSON files.</w:t>
      </w:r>
    </w:p>
    <w:p>
      <w:pPr>
        <w:jc w:val="both"/>
      </w:pPr>
      <w:r>
        <w:rPr>
          <w:rFonts w:ascii="Times New Roman" w:hAnsi="Times New Roman" w:cs="Times New Roman"/>
          <w:b w:val="0"/>
          <w:sz w:val="24"/>
          <w:u w:val="none"/>
        </w:rPr>
        <w:t>MemoryEntry in src/models/types.py was deliberately left untouched so that nobody's imports break. It is now superseded by ProposalMemoryRecord and is recommended for retirement once the store uses the new record.</w:t>
      </w:r>
    </w:p>
    <w:p>
      <w:pPr>
        <w:spacing w:before="360" w:after="160"/>
        <w:jc w:val="both"/>
        <w:pBdr>
          <w:bottom w:val="single" w:sz="6" w:space="4" w:color="2E5395"/>
        </w:pBdr>
      </w:pPr>
      <w:r>
        <w:rPr>
          <w:rFonts w:ascii="Times New Roman" w:hAnsi="Times New Roman" w:cs="Times New Roman"/>
          <w:b/>
          <w:sz w:val="24"/>
          <w:u w:val="none"/>
        </w:rPr>
        <w:t>5. Open Items for the Team</w:t>
      </w:r>
    </w:p>
    <w:p>
      <w:pPr>
        <w:jc w:val="both"/>
      </w:pPr>
      <w:r>
        <w:rPr>
          <w:rFonts w:ascii="Times New Roman" w:hAnsi="Times New Roman" w:cs="Times New Roman"/>
          <w:b w:val="0"/>
          <w:sz w:val="24"/>
          <w:u w:val="none"/>
        </w:rPr>
        <w:t>Retention is undecided. The boundary matrix carries an open item on how long memory is kept, and the schema deliberately does not hard-code a period. The recommended answer is that memory is kept until a human clears it, which needs a team decision and then one added line in the charter.</w:t>
      </w:r>
    </w:p>
    <w:p>
      <w:pPr>
        <w:jc w:val="both"/>
      </w:pPr>
      <w:r>
        <w:rPr>
          <w:rFonts w:ascii="Times New Roman" w:hAnsi="Times New Roman" w:cs="Times New Roman"/>
          <w:b w:val="0"/>
          <w:sz w:val="24"/>
          <w:u w:val="none"/>
        </w:rPr>
        <w:t>The store that saves and loads records, and the wiring that puts earlier proposals into the agent's context and records approvals and rejections, are not part of this role's deliverable and have not been built. The record is ready for them. The replacement wording for the Boundary Matrix, the Prompt Specification, and the Member 3 deliverables document is waiting for those documents' owners to apply it, and the README's memory row should change from upcoming once the store is in place.</w:t>
      </w:r>
    </w:p>
    <w:p>
      <w:pPr>
        <w:spacing w:before="360" w:after="160"/>
        <w:jc w:val="both"/>
        <w:pBdr>
          <w:bottom w:val="single" w:sz="6" w:space="4" w:color="2E5395"/>
        </w:pBdr>
      </w:pPr>
      <w:r>
        <w:rPr>
          <w:rFonts w:ascii="Times New Roman" w:hAnsi="Times New Roman" w:cs="Times New Roman"/>
          <w:b/>
          <w:sz w:val="24"/>
          <w:u w:val="none"/>
        </w:rPr>
        <w:t>6. Verification</w:t>
      </w:r>
    </w:p>
    <w:p>
      <w:pPr>
        <w:jc w:val="both"/>
      </w:pPr>
      <w:r>
        <w:rPr>
          <w:rFonts w:ascii="Times New Roman" w:hAnsi="Times New Roman" w:cs="Times New Roman"/>
          <w:b w:val="0"/>
          <w:sz w:val="24"/>
          <w:u w:val="none"/>
        </w:rPr>
        <w:t>tests/test_memory_schema.py adds 31 tests covering module normalisation, key stability and difference, anchor fallback, record validation for each status, valid and invalid status moves, immutability, rejection of naive timestamps, the title limit, a JSON round trip for every stage, rejection of unknown or missing fields, a real TestProposal converted to a record, the one-sentence description, and the field-set guard.</w:t>
      </w:r>
    </w:p>
    <w:p>
      <w:pPr>
        <w:jc w:val="both"/>
      </w:pPr>
      <w:r>
        <w:rPr>
          <w:rFonts w:ascii="Times New Roman" w:hAnsi="Times New Roman" w:cs="Times New Roman"/>
          <w:b w:val="0"/>
          <w:sz w:val="24"/>
          <w:u w:val="none"/>
        </w:rPr>
        <w:t>The full suite was run twice. In a local mirror of the committed repository it ran 134 tests, of which 133 passed, including all 31 new tests. One test failed: a test in tests/test_tool_auth.py that checks a hanging test is killed by the real timeout, which reported "fail" where "error" was expected. The suite was then run on a local Windows machine with Python 3.10. There, tests/test_task_adapter.py and tests/test_task_contract.py could not at first be imported because PyYAML, which src/agent/task_contract.py needs, was not installed on that machine. After PyYAML was installed, the suite ran 139 tests and 138 passed, including all 31 memory tests. The only failure was the same tests/test_tool_auth.py timeout test, which therefore does not come from the mirror alone. It does not use the memory package and was not touched this week, so it is outside the scope of this deliverable and is reported to Member 4, who owns tests/test_tool_auth.py.</w:t>
      </w:r>
    </w:p>
    <w:p>
      <w:pPr>
        <w:ind w:left="432"/>
      </w:pPr>
      <w:r>
        <w:rPr>
          <w:rFonts w:ascii="Consolas" w:hAnsi="Consolas"/>
          <w:sz w:val="21"/>
        </w:rPr>
        <w:t>PS&gt; $env:PYTHONPATH = "src"</w:t>
      </w:r>
    </w:p>
    <w:p>
      <w:pPr>
        <w:ind w:left="432"/>
      </w:pPr>
      <w:r>
        <w:rPr>
          <w:rFonts w:ascii="Consolas" w:hAnsi="Consolas"/>
          <w:sz w:val="21"/>
        </w:rPr>
        <w:t>PS&gt; python -m unittest discover -s tests -v</w:t>
      </w:r>
    </w:p>
    <w:p>
      <w:pPr>
        <w:ind w:left="432"/>
      </w:pPr>
      <w:r>
        <w:rPr>
          <w:rFonts w:ascii="Consolas" w:hAnsi="Consolas"/>
          <w:sz w:val="21"/>
        </w:rPr>
        <w:t>PS&gt; python scripts\member1_memory_smoke.py</w:t>
      </w:r>
    </w:p>
    <w:p>
      <w:pPr>
        <w:jc w:val="both"/>
      </w:pPr>
      <w:r>
        <w:rPr>
          <w:rFonts w:ascii="Times New Roman" w:hAnsi="Times New Roman" w:cs="Times New Roman"/>
          <w:b w:val="0"/>
          <w:sz w:val="24"/>
          <w:u w:val="none"/>
        </w:rPr>
        <w:t>The demonstration script builds a record from a real proposal in the evaluation fixtures and shows that a trivially reworded title receives the same key, that a real paraphrase does not, that a record can be run and then rejected with its run history kept, that a second move on a rejected record is refused, that a record survives a JSON round trip, and that a smuggled diagnosis field is refused. All six behaved as expected on the run recorded for this report.</w:t>
      </w:r>
    </w:p>
    <w:p>
      <w:pPr>
        <w:jc w:val="both"/>
      </w:pPr>
      <w:r>
        <w:rPr>
          <w:rFonts w:ascii="Times New Roman" w:hAnsi="Times New Roman" w:cs="Times New Roman"/>
          <w:b w:val="0"/>
          <w:sz w:val="24"/>
          <w:u w:val="none"/>
        </w:rPr>
        <w:t>The updated charter was validated against the original file with the docx skill's structural validator (all checks passed, paragraph count unchanged) and re-rendered to PDF, where Scope item (v) reads correctly in context. The new files contain no em-dashes.</w:t>
      </w:r>
    </w:p>
    <w:p>
      <w:pPr>
        <w:spacing w:before="360" w:after="160"/>
        <w:jc w:val="both"/>
        <w:pBdr>
          <w:bottom w:val="single" w:sz="6" w:space="4" w:color="2E5395"/>
        </w:pBdr>
      </w:pPr>
      <w:r>
        <w:rPr>
          <w:rFonts w:ascii="Times New Roman" w:hAnsi="Times New Roman" w:cs="Times New Roman"/>
          <w:b/>
          <w:sz w:val="24"/>
          <w:u w:val="none"/>
        </w:rPr>
        <w:t>7. Conclusion and Next Steps</w:t>
      </w:r>
    </w:p>
    <w:p>
      <w:pPr>
        <w:jc w:val="both"/>
      </w:pPr>
      <w:r>
        <w:rPr>
          <w:rFonts w:ascii="Times New Roman" w:hAnsi="Times New Roman" w:cs="Times New Roman"/>
          <w:b w:val="0"/>
          <w:sz w:val="24"/>
          <w:u w:val="none"/>
        </w:rPr>
        <w:t>Both Week 6 deliverables are complete: the memory description is finalised and shared between the charter and the code, and src/memory/schema.py defines what a memory record holds and refuses to hold anything the description does not promise. Three items need the wider team: the owners of the Boundary Matrix, the Prompt Specification, and the Member 3 deliverables document should apply the replacement wording; the team should decide the retention period; and the store and the agent wiring should be picked up by the roles that own them, building on ProposalMemoryRecord.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