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inline distT="0" distB="0" distL="0" distR="0">
            <wp:extent cx="5943600" cy="108839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/>
        <w:jc w:val="center"/>
        <w:rPr/>
      </w:pPr>
      <w:r>
        <w:rPr/>
      </w:r>
    </w:p>
    <w:p>
      <w:pPr>
        <w:pStyle w:val="Normal"/>
        <w:spacing w:lineRule="auto" w:line="276"/>
        <w:jc w:val="center"/>
        <w:rPr/>
      </w:pPr>
      <w:r>
        <w:rPr/>
        <w:t>COLLEGE OF COMPUTING AND INFORMATION SCIENCES</w:t>
      </w:r>
    </w:p>
    <w:p>
      <w:pPr>
        <w:pStyle w:val="Normal"/>
        <w:spacing w:lineRule="auto" w:line="276"/>
        <w:jc w:val="center"/>
        <w:rPr/>
      </w:pPr>
      <w:r>
        <w:rPr/>
        <w:t>SCHOOL OF COMPUTING AND INFORMATICS TECHNOLOGY</w:t>
      </w:r>
    </w:p>
    <w:p>
      <w:pPr>
        <w:pStyle w:val="Normal"/>
        <w:jc w:val="center"/>
        <w:rPr/>
      </w:pPr>
      <w:r>
        <w:rPr/>
        <w:t xml:space="preserve">DEPARTMENT OF NETWORKS </w:t>
      </w:r>
    </w:p>
    <w:p>
      <w:pPr>
        <w:pStyle w:val="Normal"/>
        <w:jc w:val="center"/>
        <w:rPr/>
      </w:pPr>
      <w:r>
        <w:rPr/>
      </w:r>
    </w:p>
    <w:p>
      <w:pPr>
        <w:pStyle w:val="Normal"/>
        <w:spacing w:before="0" w:after="8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BSE4104  EMERGING TRENDS IN SOFTWARE ENGINEERING  </w:t>
      </w:r>
    </w:p>
    <w:p>
      <w:pPr>
        <w:pStyle w:val="Normal"/>
        <w:spacing w:before="0" w:after="8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AI-NATIVE &amp; AGENTIC ENGINEERING CAPSTONE</w:t>
      </w:r>
    </w:p>
    <w:p>
      <w:pPr>
        <w:pStyle w:val="Normal"/>
        <w:spacing w:before="0" w:after="8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bookmarkStart w:id="0" w:name="_Toc239365239"/>
      <w:r>
        <w:rPr>
          <w:b/>
          <w:bCs/>
          <w:sz w:val="28"/>
          <w:szCs w:val="28"/>
        </w:rPr>
        <w:t>System Architecture and Integration Specification of the Software-Engineering QA Agent</w:t>
      </w:r>
      <w:bookmarkEnd w:id="0"/>
    </w:p>
    <w:p>
      <w:pPr>
        <w:pStyle w:val="Normal"/>
        <w:spacing w:before="0" w:after="240"/>
        <w:jc w:val="center"/>
        <w:rPr>
          <w:b/>
          <w:bCs/>
        </w:rPr>
      </w:pPr>
      <w:r>
        <w:rPr>
          <w:b/>
          <w:bCs/>
        </w:rPr>
        <w:t>Group J</w:t>
      </w:r>
    </w:p>
    <w:tbl>
      <w:tblPr>
        <w:tblStyle w:val="TableGrid"/>
        <w:tblW w:w="963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96"/>
        <w:gridCol w:w="2837"/>
        <w:gridCol w:w="3401"/>
      </w:tblGrid>
      <w:tr>
        <w:trPr/>
        <w:tc>
          <w:tcPr>
            <w:tcW w:w="3396" w:type="dxa"/>
            <w:tcBorders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NAME</w:t>
            </w:r>
          </w:p>
        </w:tc>
        <w:tc>
          <w:tcPr>
            <w:tcW w:w="2837" w:type="dxa"/>
            <w:tcBorders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STUDENT NUMBER</w:t>
            </w:r>
          </w:p>
        </w:tc>
        <w:tc>
          <w:tcPr>
            <w:tcW w:w="3401" w:type="dxa"/>
            <w:tcBorders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REGISTRATION NUMBER</w:t>
            </w:r>
          </w:p>
        </w:tc>
      </w:tr>
      <w:tr>
        <w:trPr>
          <w:trHeight w:val="884" w:hRule="atLeast"/>
        </w:trPr>
        <w:tc>
          <w:tcPr>
            <w:tcW w:w="3396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Karagwa Ann Treasure</w:t>
            </w:r>
          </w:p>
        </w:tc>
        <w:tc>
          <w:tcPr>
            <w:tcW w:w="2837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2300709034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23/U/09034/PS</w:t>
            </w:r>
          </w:p>
        </w:tc>
      </w:tr>
      <w:tr>
        <w:trPr>
          <w:trHeight w:val="932" w:hRule="atLeast"/>
        </w:trPr>
        <w:tc>
          <w:tcPr>
            <w:tcW w:w="3396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Ayan Mustafa Abdirahman</w:t>
            </w:r>
          </w:p>
        </w:tc>
        <w:tc>
          <w:tcPr>
            <w:tcW w:w="2837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2300722948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23/X/22948/EVE</w:t>
            </w:r>
          </w:p>
        </w:tc>
      </w:tr>
      <w:tr>
        <w:trPr>
          <w:trHeight w:val="1042" w:hRule="atLeast"/>
        </w:trPr>
        <w:tc>
          <w:tcPr>
            <w:tcW w:w="3396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Wanyana Selina Masembe</w:t>
            </w:r>
          </w:p>
        </w:tc>
        <w:tc>
          <w:tcPr>
            <w:tcW w:w="2837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2300701529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23/U/1529</w:t>
            </w:r>
          </w:p>
        </w:tc>
      </w:tr>
      <w:tr>
        <w:trPr>
          <w:trHeight w:val="1010" w:hRule="atLeast"/>
        </w:trPr>
        <w:tc>
          <w:tcPr>
            <w:tcW w:w="3396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Amabe Junior Humphrey</w:t>
            </w:r>
          </w:p>
        </w:tc>
        <w:tc>
          <w:tcPr>
            <w:tcW w:w="2837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2300705942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23/U/05942/PS</w:t>
            </w:r>
          </w:p>
        </w:tc>
      </w:tr>
      <w:tr>
        <w:trPr>
          <w:trHeight w:val="1119" w:hRule="atLeast"/>
        </w:trPr>
        <w:tc>
          <w:tcPr>
            <w:tcW w:w="3396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 xml:space="preserve">Akanga Andrew </w:t>
            </w:r>
          </w:p>
        </w:tc>
        <w:tc>
          <w:tcPr>
            <w:tcW w:w="2837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2300705555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pacing w:before="0" w:after="160"/>
              <w:rPr>
                <w:sz w:val="32"/>
                <w:szCs w:val="32"/>
              </w:rPr>
            </w:pPr>
            <w:r>
              <w:rPr>
                <w:rFonts w:eastAsia="Calibri"/>
                <w:kern w:val="0"/>
                <w:sz w:val="32"/>
                <w:szCs w:val="32"/>
                <w:lang w:val="en-US" w:eastAsia="en-US" w:bidi="ar-SA"/>
              </w:rPr>
              <w:t>23/U/05555/PS</w:t>
            </w:r>
          </w:p>
        </w:tc>
      </w:tr>
    </w:tbl>
    <w:p>
      <w:pPr>
        <w:pStyle w:val="Normal"/>
        <w:spacing w:before="0" w:after="8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276"/>
        <w:jc w:val="center"/>
        <w:rPr>
          <w:b/>
        </w:rPr>
      </w:pPr>
      <w:r>
        <w:rPr>
          <w:b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736" w:leader="dot"/>
            </w:tabs>
            <w:rPr>
              <w:rFonts w:ascii="Aptos" w:hAnsi="Aptos" w:eastAsia="" w:cs="" w:asciiTheme="minorHAnsi" w:cstheme="minorBidi" w:eastAsiaTheme="minorEastAsia" w:hAnsiTheme="minorHAnsi"/>
              <w:b w:val="false"/>
              <w:color w:val="auto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Toc239366265">
            <w:r>
              <w:rPr>
                <w:webHidden/>
                <w:rStyle w:val="IndexLink"/>
              </w:rPr>
              <w:t>1.</w:t>
            </w:r>
            <w:r>
              <w:rPr>
                <w:rStyle w:val="IndexLink"/>
                <w:bCs/>
              </w:rPr>
              <w:t xml:space="preserve"> Purpose and scope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_Toc239366265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736" w:leader="dot"/>
            </w:tabs>
            <w:rPr>
              <w:rFonts w:ascii="Aptos" w:hAnsi="Aptos" w:eastAsia="" w:cs="" w:asciiTheme="minorHAnsi" w:cstheme="minorBidi" w:eastAsiaTheme="minorEastAsia" w:hAnsiTheme="minorHAnsi"/>
              <w:color w:val="auto"/>
              <w:kern w:val="2"/>
              <w:szCs w:val="24"/>
              <w14:ligatures w14:val="standardContextual"/>
            </w:rPr>
          </w:pPr>
          <w:hyperlink w:anchor="_Toc239366266">
            <w:r>
              <w:rPr>
                <w:webHidden/>
                <w:rStyle w:val="IndexLink"/>
              </w:rPr>
              <w:t>1.1.</w:t>
            </w:r>
            <w:r>
              <w:rPr>
                <w:rStyle w:val="IndexLink"/>
                <w:bCs/>
              </w:rPr>
              <w:t xml:space="preserve"> What the system does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_Toc239366266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736" w:leader="dot"/>
            </w:tabs>
            <w:rPr>
              <w:rFonts w:ascii="Aptos" w:hAnsi="Aptos" w:eastAsia="" w:cs="" w:asciiTheme="minorHAnsi" w:cstheme="minorBidi" w:eastAsiaTheme="minorEastAsia" w:hAnsiTheme="minorHAnsi"/>
              <w:b w:val="false"/>
              <w:color w:val="auto"/>
              <w:kern w:val="2"/>
              <w:szCs w:val="24"/>
              <w14:ligatures w14:val="standardContextual"/>
            </w:rPr>
          </w:pPr>
          <w:hyperlink w:anchor="_Toc239366267">
            <w:r>
              <w:rPr>
                <w:webHidden/>
                <w:rStyle w:val="IndexLink"/>
              </w:rPr>
              <w:t>2.</w:t>
            </w:r>
            <w:r>
              <w:rPr>
                <w:rStyle w:val="IndexLink"/>
                <w:bCs/>
              </w:rPr>
              <w:t xml:space="preserve"> Architectural principles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_Toc239366267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736" w:leader="dot"/>
            </w:tabs>
            <w:rPr>
              <w:rFonts w:ascii="Aptos" w:hAnsi="Aptos" w:eastAsia="" w:cs="" w:asciiTheme="minorHAnsi" w:cstheme="minorBidi" w:eastAsiaTheme="minorEastAsia" w:hAnsiTheme="minorHAnsi"/>
              <w:b w:val="false"/>
              <w:color w:val="auto"/>
              <w:kern w:val="2"/>
              <w:szCs w:val="24"/>
              <w14:ligatures w14:val="standardContextual"/>
            </w:rPr>
          </w:pPr>
          <w:hyperlink w:anchor="_Toc239366268">
            <w:r>
              <w:rPr>
                <w:webHidden/>
                <w:rStyle w:val="IndexLink"/>
              </w:rPr>
              <w:t>3.</w:t>
            </w:r>
            <w:r>
              <w:rPr>
                <w:rStyle w:val="IndexLink"/>
                <w:bCs/>
              </w:rPr>
              <w:t xml:space="preserve"> System context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_Toc239366268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736" w:leader="dot"/>
            </w:tabs>
            <w:rPr>
              <w:rFonts w:ascii="Aptos" w:hAnsi="Aptos" w:eastAsia="" w:cs="" w:asciiTheme="minorHAnsi" w:cstheme="minorBidi" w:eastAsiaTheme="minorEastAsia" w:hAnsiTheme="minorHAnsi"/>
              <w:color w:val="auto"/>
              <w:kern w:val="2"/>
              <w:szCs w:val="24"/>
              <w14:ligatures w14:val="standardContextual"/>
            </w:rPr>
          </w:pPr>
          <w:hyperlink w:anchor="_Toc239366269">
            <w:r>
              <w:rPr>
                <w:webHidden/>
                <w:rStyle w:val="IndexLink"/>
              </w:rPr>
              <w:t>3.1.</w:t>
            </w:r>
            <w:r>
              <w:rPr>
                <w:rStyle w:val="IndexLink"/>
                <w:bCs/>
              </w:rPr>
              <w:t xml:space="preserve"> External systems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_Toc239366269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736" w:leader="dot"/>
            </w:tabs>
            <w:rPr>
              <w:rFonts w:ascii="Aptos" w:hAnsi="Aptos" w:eastAsia="" w:cs="" w:asciiTheme="minorHAnsi" w:cstheme="minorBidi" w:eastAsiaTheme="minorEastAsia" w:hAnsiTheme="minorHAnsi"/>
              <w:b w:val="false"/>
              <w:color w:val="auto"/>
              <w:kern w:val="2"/>
              <w:szCs w:val="24"/>
              <w14:ligatures w14:val="standardContextual"/>
            </w:rPr>
          </w:pPr>
          <w:hyperlink w:anchor="_Toc239366271">
            <w:r>
              <w:rPr>
                <w:webHidden/>
                <w:rStyle w:val="IndexLink"/>
              </w:rPr>
              <w:t>4.</w:t>
            </w:r>
            <w:r>
              <w:rPr>
                <w:rStyle w:val="IndexLink"/>
                <w:bCs/>
              </w:rPr>
              <w:t xml:space="preserve"> Container view and trust zones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_Toc239366271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736" w:leader="dot"/>
            </w:tabs>
            <w:rPr>
              <w:rFonts w:ascii="Aptos" w:hAnsi="Aptos" w:eastAsia="" w:cs="" w:asciiTheme="minorHAnsi" w:cstheme="minorBidi" w:eastAsiaTheme="minorEastAsia" w:hAnsiTheme="minorHAnsi"/>
              <w:b w:val="false"/>
              <w:color w:val="auto"/>
              <w:kern w:val="2"/>
              <w:szCs w:val="24"/>
              <w14:ligatures w14:val="standardContextual"/>
            </w:rPr>
          </w:pPr>
          <w:hyperlink w:anchor="_Toc239366277">
            <w:r>
              <w:rPr>
                <w:webHidden/>
                <w:rStyle w:val="IndexLink"/>
              </w:rPr>
              <w:t>5.</w:t>
            </w:r>
            <w:r>
              <w:rPr>
                <w:rStyle w:val="IndexLink"/>
                <w:bCs/>
              </w:rPr>
              <w:t xml:space="preserve"> Deliberately out of scope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_Toc239366277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tLeast" w:line="276" w:before="0" w:after="160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cs="Times New Roman"/>
          <w:color w:val="000000"/>
          <w:sz w:val="24"/>
        </w:rPr>
      </w:r>
    </w:p>
    <w:p>
      <w:pPr>
        <w:pStyle w:val="Normal"/>
        <w:spacing w:lineRule="auto" w:line="276"/>
        <w:jc w:val="center"/>
        <w:rPr>
          <w:b/>
        </w:rPr>
      </w:pPr>
      <w:r>
        <w:rPr>
          <w:b/>
        </w:rPr>
      </w:r>
      <w:r>
        <w:br w:type="page"/>
      </w:r>
    </w:p>
    <w:p>
      <w:pPr>
        <w:pStyle w:val="Normal"/>
        <w:spacing w:lineRule="auto" w:line="276" w:before="0" w:after="160"/>
        <w:jc w:val="center"/>
        <w:rPr>
          <w:b/>
        </w:rPr>
      </w:pPr>
      <w:r>
        <w:rPr>
          <w:b/>
        </w:rPr>
        <w:t>List of Figures</w:t>
      </w:r>
    </w:p>
    <w:p>
      <w:pPr>
        <w:pStyle w:val="TableofFigures"/>
        <w:tabs>
          <w:tab w:val="clear" w:pos="720"/>
          <w:tab w:val="right" w:pos="9736" w:leader="dot"/>
        </w:tabs>
        <w:rPr>
          <w:rFonts w:ascii="Aptos" w:hAnsi="Aptos" w:eastAsia="" w:cs="" w:asciiTheme="minorHAnsi" w:cstheme="minorBidi" w:eastAsiaTheme="minorEastAsia" w:hAnsiTheme="minorHAnsi"/>
          <w:color w:val="auto"/>
          <w:kern w:val="2"/>
          <w:szCs w:val="24"/>
          <w14:ligatures w14:val="standardContextual"/>
        </w:rPr>
      </w:pPr>
      <w:r>
        <w:fldChar w:fldCharType="begin"/>
      </w:r>
      <w:r>
        <w:rPr>
          <w:rStyle w:val="IndexLink"/>
        </w:rPr>
        <w:instrText xml:space="preserve"> TOC \c "Figure" \h </w:instrText>
      </w:r>
      <w:r>
        <w:rPr>
          <w:rStyle w:val="IndexLink"/>
        </w:rPr>
        <w:fldChar w:fldCharType="separate"/>
      </w:r>
      <w:hyperlink w:anchor="_Toc239370987">
        <w:r>
          <w:rPr>
            <w:rStyle w:val="IndexLink"/>
          </w:rPr>
          <w:t>Figure 3.1: System Context and Human-Decision Boundaries. Amber indicates a boundary that requires a human decision or an isolated execution environment.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_Toc239370987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736" w:leader="dot"/>
        </w:tabs>
        <w:rPr>
          <w:rFonts w:ascii="Aptos" w:hAnsi="Aptos" w:eastAsia="" w:cs="" w:asciiTheme="minorHAnsi" w:cstheme="minorBidi" w:eastAsiaTheme="minorEastAsia" w:hAnsiTheme="minorHAnsi"/>
          <w:color w:val="auto"/>
          <w:kern w:val="2"/>
          <w:szCs w:val="24"/>
          <w14:ligatures w14:val="standardContextual"/>
        </w:rPr>
      </w:pPr>
      <w:hyperlink w:anchor="_Toc239370988">
        <w:r>
          <w:rPr>
            <w:rStyle w:val="IndexLink"/>
          </w:rPr>
          <w:t xml:space="preserve">Figure 4.1: Container View across Five Trust Zones. </w:t>
        </w:r>
        <w:r>
          <w:rPr>
            <w:rStyle w:val="IndexLink"/>
            <w:bCs/>
          </w:rPr>
          <w:t>Zones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_Toc239370988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7</w:t>
        </w:r>
        <w:r>
          <w:rPr>
            <w:webHidden/>
          </w:rPr>
          <w:fldChar w:fldCharType="end"/>
        </w:r>
      </w:hyperlink>
      <w:r>
        <w:rPr>
          <w:rStyle w:val="IndexLink"/>
          <w:vanish w:val="false"/>
        </w:rPr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spacing w:lineRule="auto" w:line="276"/>
        <w:jc w:val="center"/>
        <w:rPr>
          <w:b/>
        </w:rPr>
      </w:pPr>
      <w:r>
        <w:rPr>
          <w:b/>
        </w:rPr>
        <w:t>List of Tables</w:t>
      </w:r>
    </w:p>
    <w:p>
      <w:pPr>
        <w:pStyle w:val="TableofFigures"/>
        <w:tabs>
          <w:tab w:val="clear" w:pos="720"/>
          <w:tab w:val="right" w:pos="9736" w:leader="dot"/>
        </w:tabs>
        <w:rPr>
          <w:rFonts w:ascii="Aptos" w:hAnsi="Aptos" w:eastAsia="" w:cs="" w:asciiTheme="minorHAnsi" w:cstheme="minorBidi" w:eastAsiaTheme="minorEastAsia" w:hAnsiTheme="minorHAnsi"/>
          <w:color w:val="auto"/>
          <w:kern w:val="2"/>
          <w:szCs w:val="24"/>
          <w14:ligatures w14:val="standardContextual"/>
        </w:rPr>
      </w:pPr>
      <w:r>
        <w:fldChar w:fldCharType="begin"/>
      </w:r>
      <w:r>
        <w:rPr>
          <w:rStyle w:val="IndexLink"/>
        </w:rPr>
        <w:instrText xml:space="preserve"> TOC \c "Table" \h </w:instrText>
      </w:r>
      <w:r>
        <w:rPr>
          <w:rStyle w:val="IndexLink"/>
        </w:rPr>
        <w:fldChar w:fldCharType="separate"/>
      </w:r>
      <w:hyperlink w:anchor="_Toc239366281">
        <w:r>
          <w:rPr>
            <w:rStyle w:val="IndexLink"/>
          </w:rPr>
          <w:t>Table 2.1: Architectural Principles and Their Enforcement Points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_Toc239366281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4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736" w:leader="dot"/>
        </w:tabs>
        <w:rPr>
          <w:rFonts w:ascii="Aptos" w:hAnsi="Aptos" w:eastAsia="" w:cs="" w:asciiTheme="minorHAnsi" w:cstheme="minorBidi" w:eastAsiaTheme="minorEastAsia" w:hAnsiTheme="minorHAnsi"/>
          <w:color w:val="auto"/>
          <w:kern w:val="2"/>
          <w:szCs w:val="24"/>
          <w14:ligatures w14:val="standardContextual"/>
        </w:rPr>
      </w:pPr>
      <w:hyperlink w:anchor="_Toc239366282">
        <w:r>
          <w:rPr>
            <w:rStyle w:val="IndexLink"/>
          </w:rPr>
          <w:t>Table 3.1: Primary Actor and Responsibilities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_Toc239366282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736" w:leader="dot"/>
        </w:tabs>
        <w:rPr>
          <w:rFonts w:ascii="Aptos" w:hAnsi="Aptos" w:eastAsia="" w:cs="" w:asciiTheme="minorHAnsi" w:cstheme="minorBidi" w:eastAsiaTheme="minorEastAsia" w:hAnsiTheme="minorHAnsi"/>
          <w:color w:val="auto"/>
          <w:kern w:val="2"/>
          <w:szCs w:val="24"/>
          <w14:ligatures w14:val="standardContextual"/>
        </w:rPr>
      </w:pPr>
      <w:hyperlink w:anchor="_Toc239366283">
        <w:r>
          <w:rPr>
            <w:rStyle w:val="IndexLink"/>
          </w:rPr>
          <w:t>Table 3.2: External Systems, Trust Levels and Interface Contracts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_Toc239366283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736" w:leader="dot"/>
        </w:tabs>
        <w:rPr>
          <w:rFonts w:ascii="Aptos" w:hAnsi="Aptos" w:eastAsia="" w:cs="" w:asciiTheme="minorHAnsi" w:cstheme="minorBidi" w:eastAsiaTheme="minorEastAsia" w:hAnsiTheme="minorHAnsi"/>
          <w:color w:val="auto"/>
          <w:kern w:val="2"/>
          <w:szCs w:val="24"/>
          <w14:ligatures w14:val="standardContextual"/>
        </w:rPr>
      </w:pPr>
      <w:hyperlink w:anchor="_Toc239366285">
        <w:r>
          <w:rPr>
            <w:rStyle w:val="IndexLink"/>
          </w:rPr>
          <w:t>Table 4.1: Trust Zones and Boundary Semantics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_Toc239366285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7</w:t>
        </w:r>
        <w:r>
          <w:rPr>
            <w:webHidden/>
          </w:rPr>
          <w:fldChar w:fldCharType="end"/>
        </w:r>
      </w:hyperlink>
      <w:r>
        <w:rPr>
          <w:rStyle w:val="IndexLink"/>
          <w:vanish w:val="false"/>
        </w:rPr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</w:r>
      <w:bookmarkStart w:id="1" w:name="_Toc239365240"/>
      <w:bookmarkStart w:id="2" w:name="_Toc239365240"/>
      <w:r>
        <w:br w:type="page"/>
      </w:r>
    </w:p>
    <w:p>
      <w:pPr>
        <w:pStyle w:val="Heading1"/>
        <w:numPr>
          <w:ilvl w:val="0"/>
          <w:numId w:val="2"/>
        </w:numPr>
        <w:spacing w:before="0" w:after="140"/>
        <w:rPr/>
      </w:pPr>
      <w:bookmarkStart w:id="3" w:name="_Toc239365240"/>
      <w:bookmarkStart w:id="4" w:name="_Toc239366265"/>
      <w:r>
        <w:rPr>
          <w:bCs/>
          <w:szCs w:val="27"/>
        </w:rPr>
        <w:t>Purpose and scope</w:t>
      </w:r>
      <w:bookmarkEnd w:id="3"/>
      <w:bookmarkEnd w:id="4"/>
    </w:p>
    <w:p>
      <w:pPr>
        <w:pStyle w:val="Normal"/>
        <w:spacing w:lineRule="auto" w:line="276" w:before="0" w:after="120"/>
        <w:rPr/>
      </w:pPr>
      <w:r>
        <w:rPr/>
        <w:t>This document specifies the architecture of the Software-Engineering QA Agent: its context boundary, its containers, the trust zones they sit in, and the interfaces between them. It is the Week 1 architecture and context deliverable.</w:t>
      </w:r>
    </w:p>
    <w:p>
      <w:pPr>
        <w:pStyle w:val="Normal"/>
        <w:spacing w:lineRule="auto" w:line="276" w:before="0" w:after="120"/>
        <w:rPr/>
      </w:pPr>
      <w:r>
        <w:rPr/>
        <w:t>The full specification the team builds against container responsibilities, tool contracts, the interface register, the end-to-end request trace, the control-to-container mapping, assumptions and the build order is maintained separately in docs/architecture/full-spec.md. This document carries only the Week 1 architecture and context deliverable.</w:t>
      </w:r>
    </w:p>
    <w:p>
      <w:pPr>
        <w:pStyle w:val="Heading2"/>
        <w:numPr>
          <w:ilvl w:val="1"/>
          <w:numId w:val="2"/>
        </w:numPr>
        <w:spacing w:before="240" w:after="100"/>
        <w:rPr/>
      </w:pPr>
      <w:bookmarkStart w:id="5" w:name="_Toc239366266"/>
      <w:bookmarkStart w:id="6" w:name="_Toc239365241"/>
      <w:r>
        <w:rPr>
          <w:bCs/>
          <w:szCs w:val="22"/>
        </w:rPr>
        <w:t>What the system does</w:t>
      </w:r>
      <w:bookmarkEnd w:id="5"/>
      <w:bookmarkEnd w:id="6"/>
    </w:p>
    <w:p>
      <w:pPr>
        <w:pStyle w:val="Normal"/>
        <w:spacing w:lineRule="auto" w:line="276" w:before="0" w:after="120"/>
        <w:rPr/>
      </w:pPr>
      <w:r>
        <w:rPr/>
        <w:t>A QA engineer asks the system to triage a failing or newly changed area of a repository. The system grounds itself in that repository's requirements, documentation and code, proposes tests, runs approved existing tests in a sandbox, explains what failed and why, and drafts an issue or pull-request note for a human to review and post.</w:t>
      </w:r>
    </w:p>
    <w:p>
      <w:pPr>
        <w:pStyle w:val="Normal"/>
        <w:spacing w:lineRule="auto" w:line="276" w:before="0" w:after="120"/>
        <w:rPr/>
      </w:pPr>
      <w:r>
        <w:rPr/>
        <w:t>The system diagnoses and drafts. It does not fix, merge or deploy.</w:t>
      </w:r>
    </w:p>
    <w:p>
      <w:pPr>
        <w:pStyle w:val="Heading1"/>
        <w:numPr>
          <w:ilvl w:val="0"/>
          <w:numId w:val="2"/>
        </w:numPr>
        <w:spacing w:before="320" w:after="140"/>
        <w:rPr/>
      </w:pPr>
      <w:bookmarkStart w:id="7" w:name="_Toc239366267"/>
      <w:bookmarkStart w:id="8" w:name="_Toc239365242"/>
      <w:r>
        <w:rPr>
          <w:bCs/>
          <w:szCs w:val="27"/>
        </w:rPr>
        <w:t>Architectural principles</w:t>
      </w:r>
      <w:bookmarkEnd w:id="7"/>
      <w:bookmarkEnd w:id="8"/>
    </w:p>
    <w:p>
      <w:pPr>
        <w:pStyle w:val="Normal"/>
        <w:spacing w:lineRule="auto" w:line="276" w:before="0" w:after="120"/>
        <w:rPr/>
      </w:pPr>
      <w:r>
        <w:rPr/>
        <w:t>Five principles constrain the design. Each is testable, and each maps to a control that appears later in this document.</w:t>
      </w:r>
    </w:p>
    <w:p>
      <w:pPr>
        <w:pStyle w:val="Caption"/>
        <w:spacing w:lineRule="auto" w:line="240"/>
        <w:rPr/>
      </w:pPr>
      <w:bookmarkStart w:id="9" w:name="_Toc239366281"/>
      <w:bookmarkStart w:id="10" w:name="_Toc239365263"/>
      <w:r>
        <w:rPr/>
        <w:t xml:space="preserve">Table </w:t>
      </w:r>
      <w:r>
        <w:rPr/>
        <w:fldChar w:fldCharType="begin"/>
      </w:r>
      <w:r>
        <w:rPr/>
        <w:instrText xml:space="preserve"> STYLEREF "1" </w:instrText>
      </w:r>
      <w:r>
        <w:rPr/>
        <w:fldChar w:fldCharType="separate"/>
      </w:r>
      <w:r>
        <w:rPr/>
        <w:t>Architectural principles</w:t>
      </w:r>
      <w:r>
        <w:rPr/>
        <w:fldChar w:fldCharType="end"/>
      </w:r>
      <w:r>
        <w:rPr/>
        <w:t>.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Architectural Principles and Their Enforcement Points</w:t>
      </w:r>
      <w:bookmarkEnd w:id="9"/>
      <w:bookmarkEnd w:id="10"/>
    </w:p>
    <w:tbl>
      <w:tblPr>
        <w:tblStyle w:val="TableGrid"/>
        <w:tblW w:w="9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83"/>
        <w:gridCol w:w="2601"/>
        <w:gridCol w:w="6556"/>
      </w:tblGrid>
      <w:tr>
        <w:trPr/>
        <w:tc>
          <w:tcPr>
            <w:tcW w:w="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S/N</w:t>
            </w:r>
          </w:p>
        </w:tc>
        <w:tc>
          <w:tcPr>
            <w:tcW w:w="26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Principle</w:t>
            </w:r>
          </w:p>
        </w:tc>
        <w:tc>
          <w:tcPr>
            <w:tcW w:w="6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How it shows up in the architecture</w:t>
            </w:r>
          </w:p>
        </w:tc>
      </w:tr>
      <w:tr>
        <w:trPr/>
        <w:tc>
          <w:tcPr>
            <w:tcW w:w="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P1</w:t>
            </w:r>
          </w:p>
        </w:tc>
        <w:tc>
          <w:tcPr>
            <w:tcW w:w="26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Model output is untrusted input</w:t>
            </w:r>
          </w:p>
        </w:tc>
        <w:tc>
          <w:tcPr>
            <w:tcW w:w="6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Every tool-call request returned by the model is validated against a schema, an allow-list and a permission rule before anything executes. The agent runtime holds no credentials and touches no store directly.</w:t>
            </w:r>
          </w:p>
        </w:tc>
      </w:tr>
      <w:tr>
        <w:trPr/>
        <w:tc>
          <w:tcPr>
            <w:tcW w:w="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P2</w:t>
            </w:r>
          </w:p>
        </w:tc>
        <w:tc>
          <w:tcPr>
            <w:tcW w:w="26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One choke point for every action</w:t>
            </w:r>
          </w:p>
        </w:tc>
        <w:tc>
          <w:tcPr>
            <w:tcW w:w="6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The orchestrator is the sole path to the tool layer. There is no second route from the agent runtime to the filesystem, the sandbox, the network or the stores.</w:t>
            </w:r>
          </w:p>
        </w:tc>
      </w:tr>
      <w:tr>
        <w:trPr/>
        <w:tc>
          <w:tcPr>
            <w:tcW w:w="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P3</w:t>
            </w:r>
          </w:p>
        </w:tc>
        <w:tc>
          <w:tcPr>
            <w:tcW w:w="26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Side effects are gated, not merely logged</w:t>
            </w:r>
          </w:p>
        </w:tc>
        <w:tc>
          <w:tcPr>
            <w:tcW w:w="6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Test execution and any external write pass through an approval gate that blocks on a human decision. There is no timeout that auto-approves.</w:t>
            </w:r>
          </w:p>
        </w:tc>
      </w:tr>
      <w:tr>
        <w:trPr/>
        <w:tc>
          <w:tcPr>
            <w:tcW w:w="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P4</w:t>
            </w:r>
          </w:p>
        </w:tc>
        <w:tc>
          <w:tcPr>
            <w:tcW w:w="26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The corpus is read-only and frozen</w:t>
            </w:r>
          </w:p>
        </w:tc>
        <w:tc>
          <w:tcPr>
            <w:tcW w:w="6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The target repository is cloned at a fixed tag. Nothing in the system writes to it. This makes the evaluation set reproducible.</w:t>
            </w:r>
          </w:p>
        </w:tc>
      </w:tr>
      <w:tr>
        <w:trPr/>
        <w:tc>
          <w:tcPr>
            <w:tcW w:w="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P5</w:t>
            </w:r>
          </w:p>
        </w:tc>
        <w:tc>
          <w:tcPr>
            <w:tcW w:w="26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Observability is built first, not last</w:t>
            </w:r>
          </w:p>
        </w:tc>
        <w:tc>
          <w:tcPr>
            <w:tcW w:w="6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The trace store and prompt registry land in Week 2 alongside the first model call, so Week 7 has a history to analyse rather than a reconstruction to attempt.</w:t>
            </w:r>
          </w:p>
        </w:tc>
      </w:tr>
    </w:tbl>
    <w:p>
      <w:pPr>
        <w:pStyle w:val="Heading1"/>
        <w:numPr>
          <w:ilvl w:val="0"/>
          <w:numId w:val="2"/>
        </w:numPr>
        <w:spacing w:before="320" w:after="140"/>
        <w:rPr/>
      </w:pPr>
      <w:bookmarkStart w:id="11" w:name="_Toc239366268"/>
      <w:bookmarkStart w:id="12" w:name="_Toc239365243"/>
      <w:r>
        <w:rPr>
          <w:bCs/>
          <w:szCs w:val="27"/>
        </w:rPr>
        <w:t>System context</w:t>
      </w:r>
      <w:bookmarkEnd w:id="11"/>
      <w:bookmarkEnd w:id="12"/>
    </w:p>
    <w:p>
      <w:pPr>
        <w:pStyle w:val="Normal"/>
        <w:spacing w:lineRule="auto" w:line="276" w:before="0" w:after="120"/>
        <w:rPr/>
      </w:pPr>
      <w:r>
        <w:rPr/>
        <w:t>One primary user, one system in scope, four external dependencies at three different trust levels.</w:t>
      </w:r>
    </w:p>
    <w:p>
      <w:pPr>
        <w:pStyle w:val="Normal"/>
        <w:spacing w:before="160" w:after="60"/>
        <w:jc w:val="center"/>
        <w:rPr/>
      </w:pPr>
      <w:r>
        <w:rPr/>
        <w:drawing>
          <wp:inline distT="0" distB="0" distL="0" distR="0">
            <wp:extent cx="6188710" cy="349504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6096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lineRule="auto" w:line="240"/>
        <w:rPr>
          <w:b/>
          <w:i w:val="false"/>
          <w:i w:val="false"/>
          <w:color w:val="000000"/>
          <w:sz w:val="24"/>
        </w:rPr>
      </w:pPr>
      <w:bookmarkStart w:id="13" w:name="_Toc239370987"/>
      <w:bookmarkStart w:id="14" w:name="_Toc239365261"/>
      <w:r>
        <w:rPr/>
        <w:t xml:space="preserve">Figure </w:t>
      </w:r>
      <w:r>
        <w:rPr/>
        <w:fldChar w:fldCharType="begin"/>
      </w:r>
      <w:r>
        <w:rPr/>
        <w:instrText xml:space="preserve"> STYLEREF "1" </w:instrText>
      </w:r>
      <w:r>
        <w:rPr/>
        <w:fldChar w:fldCharType="separate"/>
      </w:r>
      <w:r>
        <w:rPr/>
        <w:t>System context</w:t>
      </w:r>
      <w:r>
        <w:rPr/>
        <w:fldChar w:fldCharType="end"/>
      </w:r>
      <w:r>
        <w:rPr/>
        <w:t>.</w:t>
      </w:r>
      <w:r>
        <w:rPr/>
        <w:fldChar w:fldCharType="begin"/>
      </w:r>
      <w:r>
        <w:rPr/>
        <w:instrText xml:space="preserve"> SEQ Figure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: System Context and Human-Decision Boundaries. </w:t>
      </w:r>
      <w:bookmarkEnd w:id="13"/>
      <w:bookmarkEnd w:id="14"/>
    </w:p>
    <w:p>
      <w:pPr>
        <w:pStyle w:val="Caption"/>
        <w:spacing w:lineRule="auto" w:line="240"/>
        <w:rPr/>
      </w:pPr>
      <w:bookmarkStart w:id="15" w:name="_Toc239366282"/>
      <w:bookmarkStart w:id="16" w:name="_Toc239365264"/>
      <w:r>
        <w:rPr/>
        <w:t xml:space="preserve">Table </w:t>
      </w:r>
      <w:r>
        <w:rPr/>
        <w:fldChar w:fldCharType="begin"/>
      </w:r>
      <w:r>
        <w:rPr/>
        <w:instrText xml:space="preserve"> STYLEREF "1" </w:instrText>
      </w:r>
      <w:r>
        <w:rPr/>
        <w:fldChar w:fldCharType="separate"/>
      </w:r>
      <w:r>
        <w:rPr/>
        <w:t>System context</w:t>
      </w:r>
      <w:r>
        <w:rPr/>
        <w:fldChar w:fldCharType="end"/>
      </w:r>
      <w:r>
        <w:rPr/>
        <w:t>.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: Primary Actor and Responsibilities</w:t>
      </w:r>
      <w:bookmarkEnd w:id="15"/>
      <w:bookmarkEnd w:id="16"/>
    </w:p>
    <w:tbl>
      <w:tblPr>
        <w:tblStyle w:val="TableGrid"/>
        <w:tblW w:w="9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97"/>
        <w:gridCol w:w="7242"/>
      </w:tblGrid>
      <w:tr>
        <w:trPr>
          <w:tblHeader w:val="true"/>
        </w:trPr>
        <w:tc>
          <w:tcPr>
            <w:tcW w:w="24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/>
                <w:b/>
                <w:kern w:val="0"/>
                <w:sz w:val="20"/>
                <w:szCs w:val="21"/>
                <w:lang w:val="en-US" w:eastAsia="en-US" w:bidi="ar-SA"/>
              </w:rPr>
              <w:t>Actor</w:t>
            </w:r>
          </w:p>
        </w:tc>
        <w:tc>
          <w:tcPr>
            <w:tcW w:w="724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/>
                <w:b/>
                <w:kern w:val="0"/>
                <w:sz w:val="20"/>
                <w:szCs w:val="21"/>
                <w:lang w:val="en-US" w:eastAsia="en-US" w:bidi="ar-SA"/>
              </w:rPr>
              <w:t>Responsibility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QA engineer</w:t>
            </w:r>
          </w:p>
        </w:tc>
        <w:tc>
          <w:tcPr>
            <w:tcW w:w="724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Opens a triage request. Approves or rejects the scope of test execution. Reviews the drafted issue and decides whether it is posted. The only human role in scope; no reviewer or administrator persona is modelled.</w:t>
            </w:r>
          </w:p>
        </w:tc>
      </w:tr>
    </w:tbl>
    <w:p>
      <w:pPr>
        <w:pStyle w:val="Heading2"/>
        <w:numPr>
          <w:ilvl w:val="1"/>
          <w:numId w:val="2"/>
        </w:numPr>
        <w:spacing w:before="240" w:after="100"/>
        <w:rPr/>
      </w:pPr>
      <w:bookmarkStart w:id="17" w:name="_Toc239366269"/>
      <w:bookmarkStart w:id="18" w:name="_Toc239365245"/>
      <w:r>
        <w:rPr>
          <w:bCs/>
          <w:szCs w:val="22"/>
        </w:rPr>
        <w:t>External systems</w:t>
      </w:r>
      <w:bookmarkEnd w:id="17"/>
      <w:bookmarkEnd w:id="18"/>
    </w:p>
    <w:p>
      <w:pPr>
        <w:pStyle w:val="Caption"/>
        <w:spacing w:lineRule="auto" w:line="240"/>
        <w:rPr/>
      </w:pPr>
      <w:bookmarkStart w:id="19" w:name="_Toc239366283"/>
      <w:bookmarkStart w:id="20" w:name="_Toc239365265"/>
      <w:r>
        <w:rPr/>
        <w:t xml:space="preserve">Table </w:t>
      </w:r>
      <w:r>
        <w:rPr/>
        <w:fldChar w:fldCharType="begin"/>
      </w:r>
      <w:r>
        <w:rPr/>
        <w:instrText xml:space="preserve"> STYLEREF "1" </w:instrText>
      </w:r>
      <w:r>
        <w:rPr/>
        <w:fldChar w:fldCharType="separate"/>
      </w:r>
      <w:r>
        <w:rPr/>
        <w:t>System context</w:t>
      </w:r>
      <w:r>
        <w:rPr/>
        <w:fldChar w:fldCharType="end"/>
      </w:r>
      <w:r>
        <w:rPr/>
        <w:t>.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: External Systems, Trust Levels and Interface Contracts</w:t>
      </w:r>
      <w:bookmarkEnd w:id="19"/>
      <w:bookmarkEnd w:id="20"/>
    </w:p>
    <w:tbl>
      <w:tblPr>
        <w:tblStyle w:val="TableGrid"/>
        <w:tblW w:w="9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4"/>
        <w:gridCol w:w="1770"/>
        <w:gridCol w:w="5786"/>
      </w:tblGrid>
      <w:tr>
        <w:trPr>
          <w:tblHeader w:val="true"/>
        </w:trPr>
        <w:tc>
          <w:tcPr>
            <w:tcW w:w="218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/>
                <w:b/>
                <w:kern w:val="0"/>
                <w:sz w:val="20"/>
                <w:szCs w:val="21"/>
                <w:lang w:val="en-US" w:eastAsia="en-US" w:bidi="ar-SA"/>
              </w:rPr>
              <w:t>System</w:t>
            </w:r>
          </w:p>
        </w:tc>
        <w:tc>
          <w:tcPr>
            <w:tcW w:w="17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/>
                <w:b/>
                <w:kern w:val="0"/>
                <w:sz w:val="20"/>
                <w:szCs w:val="21"/>
                <w:lang w:val="en-US" w:eastAsia="en-US" w:bidi="ar-SA"/>
              </w:rPr>
              <w:t>Trust level</w:t>
            </w:r>
          </w:p>
        </w:tc>
        <w:tc>
          <w:tcPr>
            <w:tcW w:w="57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/>
                <w:b/>
                <w:kern w:val="0"/>
                <w:sz w:val="20"/>
                <w:szCs w:val="21"/>
                <w:lang w:val="en-US" w:eastAsia="en-US" w:bidi="ar-SA"/>
              </w:rPr>
              <w:t>Contract</w:t>
            </w:r>
          </w:p>
        </w:tc>
      </w:tr>
      <w:tr>
        <w:trPr/>
        <w:tc>
          <w:tcPr>
            <w:tcW w:w="218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LLM provider API</w:t>
            </w:r>
          </w:p>
        </w:tc>
        <w:tc>
          <w:tcPr>
            <w:tcW w:w="17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Untrusted output</w:t>
            </w:r>
          </w:p>
        </w:tc>
        <w:tc>
          <w:tcPr>
            <w:tcW w:w="57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Receives a versioned prompt, the retrieved context bundle and the declared tool schemas. Returns text and tool-call requests. Nothing it returns is executed without validation.</w:t>
            </w:r>
          </w:p>
        </w:tc>
      </w:tr>
      <w:tr>
        <w:trPr/>
        <w:tc>
          <w:tcPr>
            <w:tcW w:w="218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Frozen target repository</w:t>
            </w:r>
          </w:p>
        </w:tc>
        <w:tc>
          <w:tcPr>
            <w:tcW w:w="17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Read only, untrusted text</w:t>
            </w:r>
          </w:p>
        </w:tc>
        <w:tc>
          <w:tcPr>
            <w:tcW w:w="57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Source of requirements, README, testing conventions, source code, the existing test suite and past issue text. Cloned at a fixed tag. Also the system's prompt-injection surface, since a docstring or comment can carry instructions.</w:t>
            </w:r>
          </w:p>
        </w:tc>
      </w:tr>
      <w:tr>
        <w:trPr/>
        <w:tc>
          <w:tcPr>
            <w:tcW w:w="218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Sandbox runtime</w:t>
            </w:r>
          </w:p>
        </w:tc>
        <w:tc>
          <w:tcPr>
            <w:tcW w:w="17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Untrusted execution</w:t>
            </w:r>
          </w:p>
        </w:tc>
        <w:tc>
          <w:tcPr>
            <w:tcW w:w="57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Runs allow-listed test node IDs in a disposable container with no network access, no credentials in the environment and a hard timeout.</w:t>
            </w:r>
          </w:p>
        </w:tc>
      </w:tr>
      <w:tr>
        <w:trPr/>
        <w:tc>
          <w:tcPr>
            <w:tcW w:w="218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GitHub API</w:t>
            </w:r>
          </w:p>
        </w:tc>
        <w:tc>
          <w:tcPr>
            <w:tcW w:w="17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Write, human-gated</w:t>
            </w:r>
          </w:p>
        </w:tc>
        <w:tc>
          <w:tcPr>
            <w:tcW w:w="57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Issue and pull-request-note creation against one repository, with an issues:write-scoped token. Reachable only after an explicit human approval.</w:t>
            </w:r>
          </w:p>
        </w:tc>
      </w:tr>
    </w:tbl>
    <w:p>
      <w:pPr>
        <w:pStyle w:val="Heading1"/>
        <w:numPr>
          <w:ilvl w:val="0"/>
          <w:numId w:val="2"/>
        </w:numPr>
        <w:spacing w:before="320" w:after="140"/>
        <w:rPr/>
      </w:pPr>
      <w:bookmarkStart w:id="21" w:name="_Toc239366271"/>
      <w:bookmarkStart w:id="22" w:name="_Toc239365247"/>
      <w:r>
        <w:rPr>
          <w:bCs/>
          <w:szCs w:val="27"/>
        </w:rPr>
        <w:t>Container view and trust zones</w:t>
      </w:r>
      <w:bookmarkEnd w:id="21"/>
      <w:bookmarkEnd w:id="22"/>
    </w:p>
    <w:p>
      <w:pPr>
        <w:pStyle w:val="Normal"/>
        <w:spacing w:lineRule="auto" w:line="276" w:before="0" w:after="120"/>
        <w:rPr/>
      </w:pPr>
      <w:r>
        <w:rPr/>
        <w:t>The container diagram is organised by trust boundary rather than by component type. This is deliberate: the boundaries are what the design has to defend, and they stay correct when the technology stack changes.</w:t>
      </w:r>
    </w:p>
    <w:p>
      <w:pPr>
        <w:pStyle w:val="Normal"/>
        <w:spacing w:before="160" w:after="60"/>
        <w:jc w:val="center"/>
        <w:rPr/>
      </w:pPr>
      <w:r>
        <w:rPr/>
        <w:drawing>
          <wp:inline distT="0" distB="0" distL="0" distR="0">
            <wp:extent cx="6188710" cy="223202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lineRule="auto" w:line="240"/>
        <w:rPr>
          <w:b/>
          <w:i w:val="false"/>
          <w:i w:val="false"/>
          <w:color w:val="000000"/>
          <w:sz w:val="24"/>
        </w:rPr>
      </w:pPr>
      <w:bookmarkStart w:id="23" w:name="_Toc239370988"/>
      <w:bookmarkStart w:id="24" w:name="_Toc239365262"/>
      <w:r>
        <w:rPr/>
        <w:t xml:space="preserve">Figure </w:t>
      </w:r>
      <w:r>
        <w:rPr/>
        <w:fldChar w:fldCharType="begin"/>
      </w:r>
      <w:r>
        <w:rPr/>
        <w:instrText xml:space="preserve"> STYLEREF "1" </w:instrText>
      </w:r>
      <w:r>
        <w:rPr/>
        <w:fldChar w:fldCharType="separate"/>
      </w:r>
      <w:r>
        <w:rPr/>
        <w:t>Container view and trust zones</w:t>
      </w:r>
      <w:r>
        <w:rPr/>
        <w:fldChar w:fldCharType="end"/>
      </w:r>
      <w:r>
        <w:rPr/>
        <w:t>.</w:t>
      </w:r>
      <w:r>
        <w:rPr/>
        <w:fldChar w:fldCharType="begin"/>
      </w:r>
      <w:r>
        <w:rPr/>
        <w:instrText xml:space="preserve"> SEQ Figure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: Container View across Five Trust Zones. </w:t>
      </w:r>
      <w:bookmarkStart w:id="25" w:name="_Toc239365248"/>
      <w:bookmarkEnd w:id="24"/>
      <w:r>
        <w:rPr>
          <w:bCs/>
          <w:szCs w:val="22"/>
        </w:rPr>
        <w:t>Zones</w:t>
      </w:r>
      <w:bookmarkEnd w:id="23"/>
      <w:bookmarkEnd w:id="25"/>
    </w:p>
    <w:p>
      <w:pPr>
        <w:pStyle w:val="Caption"/>
        <w:spacing w:lineRule="auto" w:line="240"/>
        <w:rPr/>
      </w:pPr>
      <w:bookmarkStart w:id="26" w:name="_Toc239366285"/>
      <w:bookmarkStart w:id="27" w:name="_Toc239365267"/>
      <w:r>
        <w:rPr/>
        <w:t xml:space="preserve">Table </w:t>
      </w:r>
      <w:r>
        <w:rPr/>
        <w:fldChar w:fldCharType="begin"/>
      </w:r>
      <w:r>
        <w:rPr/>
        <w:instrText xml:space="preserve"> STYLEREF "1" </w:instrText>
      </w:r>
      <w:r>
        <w:rPr/>
        <w:fldChar w:fldCharType="separate"/>
      </w:r>
      <w:r>
        <w:rPr/>
        <w:t>Container view and trust zones</w:t>
      </w:r>
      <w:r>
        <w:rPr/>
        <w:fldChar w:fldCharType="end"/>
      </w:r>
      <w:r>
        <w:rPr/>
        <w:t>.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>: Trust Zones and Boundary Semantics</w:t>
      </w:r>
      <w:bookmarkEnd w:id="26"/>
      <w:bookmarkEnd w:id="27"/>
    </w:p>
    <w:tbl>
      <w:tblPr>
        <w:tblStyle w:val="TableGrid"/>
        <w:tblW w:w="9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01"/>
        <w:gridCol w:w="2289"/>
        <w:gridCol w:w="6150"/>
      </w:tblGrid>
      <w:tr>
        <w:trPr>
          <w:tblHeader w:val="true"/>
        </w:trPr>
        <w:tc>
          <w:tcPr>
            <w:tcW w:w="13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/>
                <w:b/>
                <w:kern w:val="0"/>
                <w:sz w:val="20"/>
                <w:szCs w:val="21"/>
                <w:lang w:val="en-US" w:eastAsia="en-US" w:bidi="ar-SA"/>
              </w:rPr>
              <w:t>Zone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/>
                <w:b/>
                <w:kern w:val="0"/>
                <w:sz w:val="20"/>
                <w:szCs w:val="21"/>
                <w:lang w:val="en-US" w:eastAsia="en-US" w:bidi="ar-SA"/>
              </w:rPr>
              <w:t>Name</w:t>
            </w:r>
          </w:p>
        </w:tc>
        <w:tc>
          <w:tcPr>
            <w:tcW w:w="61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/>
                <w:b/>
                <w:kern w:val="0"/>
                <w:sz w:val="20"/>
                <w:szCs w:val="21"/>
                <w:lang w:val="en-US" w:eastAsia="en-US" w:bidi="ar-SA"/>
              </w:rPr>
              <w:t>What the boundary means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A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Browser</w:t>
            </w:r>
          </w:p>
        </w:tc>
        <w:tc>
          <w:tcPr>
            <w:tcW w:w="61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Untrusted client. Holds no credentials, calls nothing but the orchestrator.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B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Application</w:t>
            </w:r>
          </w:p>
        </w:tc>
        <w:tc>
          <w:tcPr>
            <w:tcW w:w="61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Trusted and deterministic. Every control that must not be an LLM decision lives here: authorization, allow-lists, validation, limits, audit.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C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Agent runtime</w:t>
            </w:r>
          </w:p>
        </w:tc>
        <w:tc>
          <w:tcPr>
            <w:tcW w:w="61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The model's output is treated as untrusted. The runtime proposes actions and never executes them, holds no credentials, and cannot widen its own permissions or raise its own iteration cap.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D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Sandbox</w:t>
            </w:r>
          </w:p>
        </w:tc>
        <w:tc>
          <w:tcPr>
            <w:tcW w:w="61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Untrusted execution, and the highest-risk boundary in the system. Disposable, network-disabled, credential-free.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E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External write</w:t>
            </w:r>
          </w:p>
        </w:tc>
        <w:tc>
          <w:tcPr>
            <w:tcW w:w="61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/>
                <w:kern w:val="0"/>
                <w:sz w:val="20"/>
                <w:szCs w:val="21"/>
                <w:lang w:val="en-US" w:eastAsia="en-US" w:bidi="ar-SA"/>
              </w:rPr>
              <w:t>Reachable only through the approval gate. The only place the system affects anything outside itself.</w:t>
            </w:r>
          </w:p>
        </w:tc>
      </w:tr>
    </w:tbl>
    <w:p>
      <w:pPr>
        <w:pStyle w:val="Heading1"/>
        <w:numPr>
          <w:ilvl w:val="0"/>
          <w:numId w:val="2"/>
        </w:numPr>
        <w:spacing w:before="320" w:after="140"/>
        <w:rPr/>
      </w:pPr>
      <w:bookmarkStart w:id="28" w:name="_Toc239366277"/>
      <w:bookmarkStart w:id="29" w:name="_Toc239365254"/>
      <w:r>
        <w:rPr>
          <w:bCs/>
          <w:szCs w:val="27"/>
        </w:rPr>
        <w:t>Deliberately out of scope</w:t>
      </w:r>
      <w:bookmarkEnd w:id="28"/>
      <w:bookmarkEnd w:id="29"/>
    </w:p>
    <w:p>
      <w:pPr>
        <w:pStyle w:val="Normal"/>
        <w:spacing w:lineRule="auto" w:line="276" w:before="0" w:after="120"/>
        <w:rPr/>
      </w:pPr>
      <w:r>
        <w:rPr/>
        <w:t>Recorded here so scope creep has to be an explicit decision rather than a drift.</w:t>
      </w:r>
    </w:p>
    <w:p>
      <w:pPr>
        <w:pStyle w:val="ListParagraph"/>
        <w:numPr>
          <w:ilvl w:val="0"/>
          <w:numId w:val="4"/>
        </w:numPr>
        <w:spacing w:lineRule="auto" w:line="276"/>
        <w:rPr/>
      </w:pPr>
      <w:r>
        <w:rPr/>
        <w:t>Patch or fix generation. The system diagnoses and drafts; it does not propose code changes.</w:t>
      </w:r>
    </w:p>
    <w:p>
      <w:pPr>
        <w:pStyle w:val="ListParagraph"/>
        <w:numPr>
          <w:ilvl w:val="0"/>
          <w:numId w:val="1"/>
        </w:numPr>
        <w:spacing w:lineRule="auto" w:line="276"/>
        <w:rPr/>
      </w:pPr>
      <w:r>
        <w:rPr/>
        <w:t>Automatic execution of agent-written tests.</w:t>
      </w:r>
    </w:p>
    <w:p>
      <w:pPr>
        <w:pStyle w:val="ListParagraph"/>
        <w:numPr>
          <w:ilvl w:val="0"/>
          <w:numId w:val="1"/>
        </w:numPr>
        <w:spacing w:lineRule="auto" w:line="276"/>
        <w:rPr/>
      </w:pPr>
      <w:r>
        <w:rPr/>
        <w:t>Free-form shell access. Only test node IDs drawn from a manifest.</w:t>
      </w:r>
    </w:p>
    <w:p>
      <w:pPr>
        <w:pStyle w:val="ListParagraph"/>
        <w:numPr>
          <w:ilvl w:val="0"/>
          <w:numId w:val="1"/>
        </w:numPr>
        <w:spacing w:lineRule="auto" w:line="276"/>
        <w:rPr/>
      </w:pPr>
      <w:r>
        <w:rPr/>
        <w:t>Any second target repository, and any second user persona.</w:t>
      </w:r>
    </w:p>
    <w:p>
      <w:pPr>
        <w:pStyle w:val="ListParagraph"/>
        <w:numPr>
          <w:ilvl w:val="0"/>
          <w:numId w:val="1"/>
        </w:numPr>
        <w:spacing w:lineRule="auto" w:line="276"/>
        <w:rPr/>
      </w:pPr>
      <w:r>
        <w:rPr/>
        <w:t>Network access from inside the sandbox.</w:t>
      </w:r>
    </w:p>
    <w:p>
      <w:pPr>
        <w:pStyle w:val="ListParagraph"/>
        <w:numPr>
          <w:ilvl w:val="0"/>
          <w:numId w:val="1"/>
        </w:numPr>
        <w:spacing w:lineRule="auto" w:line="276"/>
        <w:rPr/>
      </w:pPr>
      <w:r>
        <w:rPr/>
        <w:t>Automatic merge, deployment or release of any kind.</w:t>
      </w:r>
    </w:p>
    <w:p>
      <w:pPr>
        <w:pStyle w:val="ListParagraph"/>
        <w:numPr>
          <w:ilvl w:val="0"/>
          <w:numId w:val="1"/>
        </w:numPr>
        <w:spacing w:lineRule="auto" w:line="276" w:before="0" w:after="160"/>
        <w:rPr/>
      </w:pPr>
      <w:r>
        <w:rPr/>
        <w:t>Training or fine-tuning a model.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pto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center"/>
      <w:rPr>
        <w:sz w:val="18"/>
      </w:rPr>
    </w:pPr>
    <w:r>
      <w:rPr>
        <w:sz w:val="18"/>
        <w:szCs w:val="16"/>
      </w:rPr>
      <w:t xml:space="preserve">page </w:t>
    </w:r>
    <w:r>
      <w:rPr>
        <w:sz w:val="18"/>
        <w:szCs w:val="16"/>
      </w:rPr>
      <w:fldChar w:fldCharType="begin"/>
    </w:r>
    <w:r>
      <w:rPr>
        <w:sz w:val="18"/>
        <w:szCs w:val="16"/>
      </w:rPr>
      <w:instrText xml:space="preserve"> PAGE </w:instrText>
    </w:r>
    <w:r>
      <w:rPr>
        <w:sz w:val="18"/>
        <w:szCs w:val="16"/>
      </w:rPr>
      <w:fldChar w:fldCharType="separate"/>
    </w:r>
    <w:r>
      <w:rPr>
        <w:sz w:val="18"/>
        <w:szCs w:val="16"/>
      </w:rPr>
      <w:t>6</w:t>
    </w:r>
    <w:r>
      <w:rPr>
        <w:sz w:val="18"/>
        <w:szCs w:val="1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center"/>
      <w:rPr>
        <w:sz w:val="18"/>
      </w:rPr>
    </w:pPr>
    <w:r>
      <w:rPr>
        <w:sz w:val="18"/>
        <w:szCs w:val="16"/>
      </w:rPr>
      <w:t xml:space="preserve">page </w:t>
    </w:r>
    <w:r>
      <w:rPr>
        <w:sz w:val="18"/>
        <w:szCs w:val="16"/>
      </w:rPr>
      <w:fldChar w:fldCharType="begin"/>
    </w:r>
    <w:r>
      <w:rPr>
        <w:sz w:val="18"/>
        <w:szCs w:val="16"/>
      </w:rPr>
      <w:instrText xml:space="preserve"> PAGE </w:instrText>
    </w:r>
    <w:r>
      <w:rPr>
        <w:sz w:val="18"/>
        <w:szCs w:val="16"/>
      </w:rPr>
      <w:fldChar w:fldCharType="separate"/>
    </w:r>
    <w:r>
      <w:rPr>
        <w:sz w:val="18"/>
        <w:szCs w:val="16"/>
      </w:rPr>
      <w:t>6</w:t>
    </w:r>
    <w:r>
      <w:rPr>
        <w:sz w:val="18"/>
        <w:szCs w:val="16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720" w:hanging="260"/>
      </w:pPr>
      <w:rPr>
        <w:rFonts w:ascii="OpenSymbol" w:hAnsi="OpenSymbol" w:cs="OpenSymbol" w:hint="default"/>
      </w:rPr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6181D"/>
        <w:sz w:val="21"/>
        <w:szCs w:val="21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tLeast" w:line="276" w:before="0" w:after="160"/>
      <w:jc w:val="both"/>
    </w:pPr>
    <w:rPr>
      <w:rFonts w:ascii="Times New Roman" w:hAnsi="Times New Roman" w:cs="Times New Roman" w:eastAsia="Calibri"/>
      <w:color w:val="000000"/>
      <w:kern w:val="0"/>
      <w:sz w:val="24"/>
      <w:szCs w:val="21"/>
      <w:lang w:val="en-US" w:eastAsia="en-US" w:bidi="ar-SA"/>
    </w:rPr>
  </w:style>
  <w:style w:type="paragraph" w:styleId="Heading1">
    <w:name w:val="Heading 1"/>
    <w:uiPriority w:val="9"/>
    <w:qFormat/>
    <w:pPr>
      <w:widowControl/>
      <w:bidi w:val="0"/>
      <w:spacing w:lineRule="atLeast" w:line="276" w:before="0" w:after="160"/>
      <w:jc w:val="both"/>
      <w:outlineLvl w:val="0"/>
    </w:pPr>
    <w:rPr>
      <w:rFonts w:ascii="Times New Roman" w:hAnsi="Times New Roman" w:cs="Times New Roman" w:eastAsia="Calibri"/>
      <w:b/>
      <w:color w:val="000000"/>
      <w:kern w:val="0"/>
      <w:sz w:val="24"/>
      <w:szCs w:val="32"/>
      <w:lang w:val="en-US" w:eastAsia="en-US" w:bidi="ar-SA"/>
    </w:rPr>
  </w:style>
  <w:style w:type="paragraph" w:styleId="Heading2">
    <w:name w:val="Heading 2"/>
    <w:uiPriority w:val="9"/>
    <w:unhideWhenUsed/>
    <w:qFormat/>
    <w:pPr>
      <w:widowControl/>
      <w:bidi w:val="0"/>
      <w:spacing w:lineRule="atLeast" w:line="276" w:before="0" w:after="160"/>
      <w:jc w:val="both"/>
      <w:outlineLvl w:val="1"/>
    </w:pPr>
    <w:rPr>
      <w:rFonts w:ascii="Times New Roman" w:hAnsi="Times New Roman" w:cs="Times New Roman" w:eastAsia="Calibri"/>
      <w:b/>
      <w:color w:val="000000"/>
      <w:kern w:val="0"/>
      <w:sz w:val="24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left"/>
      <w:outlineLvl w:val="2"/>
    </w:pPr>
    <w:rPr>
      <w:rFonts w:ascii="Calibri" w:hAnsi="Calibri" w:eastAsia="Calibri" w:cs="Calibri"/>
      <w:color w:val="1F4D78"/>
      <w:kern w:val="0"/>
      <w:sz w:val="24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left"/>
      <w:outlineLvl w:val="3"/>
    </w:pPr>
    <w:rPr>
      <w:rFonts w:ascii="Calibri" w:hAnsi="Calibri" w:eastAsia="Calibri" w:cs="Calibri"/>
      <w:i/>
      <w:iCs/>
      <w:color w:val="2E74B5"/>
      <w:kern w:val="0"/>
      <w:sz w:val="21"/>
      <w:szCs w:val="21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left"/>
      <w:outlineLvl w:val="4"/>
    </w:pPr>
    <w:rPr>
      <w:rFonts w:ascii="Calibri" w:hAnsi="Calibri" w:eastAsia="Calibri" w:cs="Calibri"/>
      <w:color w:val="2E74B5"/>
      <w:kern w:val="0"/>
      <w:sz w:val="21"/>
      <w:szCs w:val="21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left"/>
      <w:outlineLvl w:val="5"/>
    </w:pPr>
    <w:rPr>
      <w:rFonts w:ascii="Calibri" w:hAnsi="Calibri" w:eastAsia="Calibri" w:cs="Calibri"/>
      <w:color w:val="1F4D78"/>
      <w:kern w:val="0"/>
      <w:sz w:val="21"/>
      <w:szCs w:val="21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197f2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197f2e"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851266"/>
    <w:pPr>
      <w:spacing w:lineRule="atLeast" w:line="240" w:before="0" w:after="200"/>
      <w:jc w:val="center"/>
    </w:pPr>
    <w:rPr>
      <w:i/>
      <w:iCs/>
      <w:color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6181D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16181D"/>
      <w:kern w:val="0"/>
      <w:sz w:val="21"/>
      <w:szCs w:val="21"/>
      <w:lang w:val="en-US" w:eastAsia="en-US" w:bidi="ar-SA"/>
    </w:rPr>
  </w:style>
  <w:style w:type="paragraph" w:styleId="ListParagraph">
    <w:name w:val="List Paragraph"/>
    <w:qFormat/>
    <w:pPr>
      <w:widowControl/>
      <w:bidi w:val="0"/>
      <w:spacing w:lineRule="atLeast" w:line="276" w:before="0" w:after="160"/>
      <w:jc w:val="both"/>
    </w:pPr>
    <w:rPr>
      <w:rFonts w:ascii="Times New Roman" w:hAnsi="Times New Roman" w:cs="Times New Roman" w:eastAsia="Calibri"/>
      <w:color w:val="000000"/>
      <w:kern w:val="0"/>
      <w:sz w:val="24"/>
      <w:szCs w:val="21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bidi w:val="0"/>
      <w:spacing w:before="0" w:after="0"/>
      <w:jc w:val="left"/>
    </w:pPr>
    <w:rPr>
      <w:rFonts w:ascii="Calibri" w:hAnsi="Calibri" w:eastAsia="Calibri" w:cs="Calibri"/>
      <w:color w:val="16181D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bidi w:val="0"/>
      <w:spacing w:before="0" w:after="0"/>
      <w:jc w:val="left"/>
    </w:pPr>
    <w:rPr>
      <w:rFonts w:ascii="Calibri" w:hAnsi="Calibri" w:eastAsia="Calibri" w:cs="Calibri"/>
      <w:color w:val="16181D"/>
      <w:kern w:val="0"/>
      <w:sz w:val="20"/>
      <w:szCs w:val="20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97f2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197f2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1">
    <w:name w:val="TOC 1"/>
    <w:basedOn w:val="Normal"/>
    <w:next w:val="Normal"/>
    <w:autoRedefine/>
    <w:uiPriority w:val="39"/>
    <w:unhideWhenUsed/>
    <w:rsid w:val="00851266"/>
    <w:pPr>
      <w:spacing w:before="0"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851266"/>
    <w:pPr>
      <w:spacing w:before="0" w:after="100"/>
      <w:ind w:left="240"/>
    </w:pPr>
    <w:rPr/>
  </w:style>
  <w:style w:type="paragraph" w:styleId="TableofFigures">
    <w:name w:val="Table of Figures"/>
    <w:basedOn w:val="Normal"/>
    <w:next w:val="Normal"/>
    <w:uiPriority w:val="99"/>
    <w:unhideWhenUsed/>
    <w:rsid w:val="00851266"/>
    <w:pPr>
      <w:spacing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5126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LibreOffice/24.2.7.2$Linux_X86_64 LibreOffice_project/420$Build-2</Application>
  <AppVersion>15.0000</AppVersion>
  <Pages>6</Pages>
  <Words>1007</Words>
  <Characters>5665</Characters>
  <CharactersWithSpaces>6539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2026-09-03T15:44:00Z</dcterms:created>
  <dc:creator>Akanga Andrew</dc:creator>
  <dc:description>BSE4104 Week 1 architecture deliverable</dc:description>
  <dc:language>en-US</dc:language>
  <cp:lastModifiedBy/>
  <dcterms:modified xsi:type="dcterms:W3CDTF">2026-09-07T19:50:17Z</dcterms:modified>
  <cp:revision>11</cp:revision>
  <dc:subject/>
  <dc:title>Software-Engineering QA Agent — System Architecture and Integration Specification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