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8815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943600" cy="1088154"/>
                    </a:xfrm>
                    <a:prstGeom prst="rect"/>
                  </pic:spPr>
                </pic:pic>
              </a:graphicData>
            </a:graphic>
          </wp:inline>
        </w:drawing>
      </w:r>
    </w:p>
    <w:p>
      <w:pPr>
        <w:jc w:val="center"/>
      </w:pPr>
      <w:r>
        <w:rPr>
          <w:rFonts w:ascii="Times New Roman" w:hAnsi="Times New Roman" w:cs="Times New Roman"/>
          <w:b w:val="0"/>
          <w:sz w:val="24"/>
          <w:u w:val="none"/>
        </w:rPr>
        <w:t>COLLEGE OF COMPUTING AND INFORMATION SCIENCES</w:t>
      </w:r>
    </w:p>
    <w:p>
      <w:pPr>
        <w:jc w:val="center"/>
      </w:pPr>
      <w:r>
        <w:rPr>
          <w:rFonts w:ascii="Times New Roman" w:hAnsi="Times New Roman" w:cs="Times New Roman"/>
          <w:b w:val="0"/>
          <w:sz w:val="24"/>
          <w:u w:val="none"/>
        </w:rPr>
        <w:t>SCHOOL OF COMPUTING AND INFORMATICS TECHNOLOGY</w:t>
      </w:r>
    </w:p>
    <w:p>
      <w:pPr>
        <w:jc w:val="center"/>
      </w:pPr>
      <w:r>
        <w:rPr>
          <w:rFonts w:ascii="Times New Roman" w:hAnsi="Times New Roman" w:cs="Times New Roman"/>
          <w:b w:val="0"/>
          <w:sz w:val="24"/>
          <w:u w:val="none"/>
        </w:rPr>
        <w:t>DEPARTMENT OF NETWORKS</w:t>
      </w:r>
    </w:p>
    <w:p>
      <w:pPr>
        <w:jc w:val="center"/>
      </w:pPr>
    </w:p>
    <w:p>
      <w:pPr>
        <w:jc w:val="center"/>
      </w:pPr>
      <w:r>
        <w:rPr>
          <w:rFonts w:ascii="Times New Roman" w:hAnsi="Times New Roman" w:cs="Times New Roman"/>
          <w:b w:val="0"/>
          <w:sz w:val="24"/>
          <w:u w:val="none"/>
        </w:rPr>
        <w:t>BSE4104</w:t>
      </w:r>
      <w:r>
        <w:rPr>
          <w:rFonts w:ascii="Times New Roman" w:hAnsi="Times New Roman" w:cs="Times New Roman"/>
          <w:b w:val="0"/>
          <w:sz w:val="24"/>
          <w:u w:val="none"/>
        </w:rPr>
        <w:t>: Emerging Trends in Software Engineering</w:t>
      </w:r>
      <w:r>
        <w:br/>
      </w:r>
      <w:r>
        <w:rPr>
          <w:rFonts w:ascii="Times New Roman" w:hAnsi="Times New Roman" w:cs="Times New Roman"/>
          <w:b w:val="0"/>
          <w:sz w:val="24"/>
          <w:u w:val="none"/>
        </w:rPr>
        <w:t>AI-Native and Agentic Engineering Capstone</w:t>
      </w:r>
    </w:p>
    <w:p>
      <w:pPr>
        <w:jc w:val="center"/>
      </w:pPr>
      <w:r>
        <w:rPr>
          <w:rFonts w:ascii="Times New Roman" w:hAnsi="Times New Roman" w:cs="Times New Roman"/>
          <w:b/>
          <w:sz w:val="24"/>
          <w:u w:val="single"/>
        </w:rPr>
        <w:t>Project: Software-Engineering QA Agent</w:t>
      </w:r>
    </w:p>
    <w:p>
      <w:pPr>
        <w:jc w:val="center"/>
      </w:pPr>
    </w:p>
    <w:p>
      <w:pPr>
        <w:jc w:val="center"/>
      </w:pPr>
      <w:r>
        <w:rPr>
          <w:rFonts w:ascii="Times New Roman" w:hAnsi="Times New Roman" w:cs="Times New Roman"/>
          <w:b/>
          <w:sz w:val="24"/>
          <w:u w:val="none"/>
        </w:rPr>
        <w:t>MEMBER 1: WEEK 5 CONTRIBUTION REPORT</w:t>
      </w:r>
    </w:p>
    <w:p>
      <w:pPr>
        <w:jc w:val="center"/>
      </w:pPr>
      <w:r>
        <w:rPr>
          <w:rFonts w:ascii="Times New Roman" w:hAnsi="Times New Roman" w:cs="Times New Roman"/>
          <w:b/>
          <w:sz w:val="24"/>
          <w:u w:val="none"/>
        </w:rPr>
        <w:t>Multi-Step Task vs. Charter Audit, and US-9 Stop-Condition Enforcement</w:t>
      </w:r>
    </w:p>
    <w:p>
      <w:pPr>
        <w:jc w:val="center"/>
      </w:pPr>
      <w:r>
        <w:rPr>
          <w:rFonts w:ascii="Times New Roman" w:hAnsi="Times New Roman" w:cs="Times New Roman"/>
          <w:b w:val="0"/>
          <w:sz w:val="24"/>
          <w:u w:val="none"/>
        </w:rPr>
        <w:t>Reporting Period: 28 September - 2 October 2026</w:t>
      </w:r>
    </w:p>
    <w:p>
      <w:pPr>
        <w:jc w:val="center"/>
      </w:pPr>
    </w:p>
    <w:p>
      <w:pPr>
        <w:jc w:val="center"/>
      </w:pPr>
      <w:r>
        <w:rPr>
          <w:rFonts w:ascii="Times New Roman" w:hAnsi="Times New Roman" w:cs="Times New Roman"/>
          <w:b w:val="0"/>
          <w:sz w:val="24"/>
          <w:u w:val="none"/>
        </w:rPr>
        <w:t>Group: J</w:t>
      </w:r>
    </w:p>
    <w:p>
      <w:pPr>
        <w:jc w:val="center"/>
      </w:pPr>
      <w:r>
        <w:rPr>
          <w:rFonts w:ascii="Times New Roman" w:hAnsi="Times New Roman" w:cs="Times New Roman"/>
          <w:b w:val="0"/>
          <w:sz w:val="24"/>
          <w:u w:val="none"/>
        </w:rPr>
        <w:t>Prepared by: Amabe Junior Humphrey (Member 1, Project/Requirements Lead)</w:t>
      </w:r>
    </w:p>
    <w:p>
      <w:pPr>
        <w:jc w:val="center"/>
      </w:pPr>
    </w:p>
    <w:p>
      <w:pPr>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sz w:val="24"/>
                <w:u w:val="none"/>
              </w:rPr>
              <w:t>NAME</w:t>
            </w:r>
          </w:p>
        </w:tc>
        <w:tc>
          <w:tcPr>
            <w:tcW w:type="dxa" w:w="3120"/>
          </w:tcPr>
          <w:p>
            <w:pPr>
              <w:jc w:val="center"/>
            </w:pPr>
            <w:r/>
            <w:r>
              <w:rPr>
                <w:rFonts w:ascii="Times New Roman" w:hAnsi="Times New Roman" w:cs="Times New Roman"/>
                <w:b/>
                <w:sz w:val="24"/>
                <w:u w:val="none"/>
              </w:rPr>
              <w:t>STUDENT NUMBER</w:t>
            </w:r>
          </w:p>
        </w:tc>
        <w:tc>
          <w:tcPr>
            <w:tcW w:type="dxa" w:w="3120"/>
          </w:tcPr>
          <w:p>
            <w:pPr>
              <w:jc w:val="center"/>
            </w:pPr>
            <w:r/>
            <w:r>
              <w:rPr>
                <w:rFonts w:ascii="Times New Roman" w:hAnsi="Times New Roman" w:cs="Times New Roman"/>
                <w:b/>
                <w:sz w:val="24"/>
                <w:u w:val="none"/>
              </w:rPr>
              <w:t>REGISTRATION NUMBER</w:t>
            </w:r>
          </w:p>
        </w:tc>
      </w:tr>
      <w:tr>
        <w:tc>
          <w:tcPr>
            <w:tcW w:type="dxa" w:w="3120"/>
          </w:tcPr>
          <w:p>
            <w:pPr>
              <w:jc w:val="center"/>
            </w:pPr>
            <w:r/>
            <w:r>
              <w:rPr>
                <w:rFonts w:ascii="Times New Roman" w:hAnsi="Times New Roman" w:cs="Times New Roman"/>
                <w:b w:val="0"/>
                <w:sz w:val="24"/>
                <w:u w:val="none"/>
              </w:rPr>
              <w:t>Karagwa Ann Treasure</w:t>
            </w:r>
          </w:p>
        </w:tc>
        <w:tc>
          <w:tcPr>
            <w:tcW w:type="dxa" w:w="3120"/>
          </w:tcPr>
          <w:p>
            <w:pPr>
              <w:jc w:val="center"/>
            </w:pPr>
            <w:r/>
            <w:r>
              <w:rPr>
                <w:rFonts w:ascii="Times New Roman" w:hAnsi="Times New Roman" w:cs="Times New Roman"/>
                <w:b w:val="0"/>
                <w:sz w:val="24"/>
                <w:u w:val="none"/>
              </w:rPr>
              <w:t>2300709034</w:t>
            </w:r>
          </w:p>
        </w:tc>
        <w:tc>
          <w:tcPr>
            <w:tcW w:type="dxa" w:w="3120"/>
          </w:tcPr>
          <w:p>
            <w:pPr>
              <w:jc w:val="center"/>
            </w:pPr>
            <w:r/>
            <w:r>
              <w:rPr>
                <w:rFonts w:ascii="Times New Roman" w:hAnsi="Times New Roman" w:cs="Times New Roman"/>
                <w:b w:val="0"/>
                <w:sz w:val="24"/>
                <w:u w:val="none"/>
              </w:rPr>
              <w:t>23/U/09034/PS</w:t>
            </w:r>
          </w:p>
        </w:tc>
      </w:tr>
      <w:tr>
        <w:tc>
          <w:tcPr>
            <w:tcW w:type="dxa" w:w="3120"/>
          </w:tcPr>
          <w:p>
            <w:pPr>
              <w:jc w:val="center"/>
            </w:pPr>
            <w:r/>
            <w:r>
              <w:rPr>
                <w:rFonts w:ascii="Times New Roman" w:hAnsi="Times New Roman" w:cs="Times New Roman"/>
                <w:b w:val="0"/>
                <w:sz w:val="24"/>
                <w:u w:val="none"/>
              </w:rPr>
              <w:t>Ayan Mustafa Abdirahman</w:t>
            </w:r>
          </w:p>
        </w:tc>
        <w:tc>
          <w:tcPr>
            <w:tcW w:type="dxa" w:w="3120"/>
          </w:tcPr>
          <w:p>
            <w:pPr>
              <w:jc w:val="center"/>
            </w:pPr>
            <w:r/>
            <w:r>
              <w:rPr>
                <w:rFonts w:ascii="Times New Roman" w:hAnsi="Times New Roman" w:cs="Times New Roman"/>
                <w:b w:val="0"/>
                <w:sz w:val="24"/>
                <w:u w:val="none"/>
              </w:rPr>
              <w:t>2300722948</w:t>
            </w:r>
          </w:p>
        </w:tc>
        <w:tc>
          <w:tcPr>
            <w:tcW w:type="dxa" w:w="3120"/>
          </w:tcPr>
          <w:p>
            <w:pPr>
              <w:jc w:val="center"/>
            </w:pPr>
            <w:r/>
            <w:r>
              <w:rPr>
                <w:rFonts w:ascii="Times New Roman" w:hAnsi="Times New Roman" w:cs="Times New Roman"/>
                <w:b w:val="0"/>
                <w:sz w:val="24"/>
                <w:u w:val="none"/>
              </w:rPr>
              <w:t>23/X/22948/EVE</w:t>
            </w:r>
          </w:p>
        </w:tc>
      </w:tr>
      <w:tr>
        <w:tc>
          <w:tcPr>
            <w:tcW w:type="dxa" w:w="3120"/>
          </w:tcPr>
          <w:p>
            <w:pPr>
              <w:jc w:val="center"/>
            </w:pPr>
            <w:r/>
            <w:r>
              <w:rPr>
                <w:rFonts w:ascii="Times New Roman" w:hAnsi="Times New Roman" w:cs="Times New Roman"/>
                <w:b w:val="0"/>
                <w:sz w:val="24"/>
                <w:u w:val="none"/>
              </w:rPr>
              <w:t>Wanyana Selina Masembe</w:t>
            </w:r>
          </w:p>
        </w:tc>
        <w:tc>
          <w:tcPr>
            <w:tcW w:type="dxa" w:w="3120"/>
          </w:tcPr>
          <w:p>
            <w:pPr>
              <w:jc w:val="center"/>
            </w:pPr>
            <w:r/>
            <w:r>
              <w:rPr>
                <w:rFonts w:ascii="Times New Roman" w:hAnsi="Times New Roman" w:cs="Times New Roman"/>
                <w:b w:val="0"/>
                <w:sz w:val="24"/>
                <w:u w:val="none"/>
              </w:rPr>
              <w:t>2300701529</w:t>
            </w:r>
          </w:p>
        </w:tc>
        <w:tc>
          <w:tcPr>
            <w:tcW w:type="dxa" w:w="3120"/>
          </w:tcPr>
          <w:p>
            <w:pPr>
              <w:jc w:val="center"/>
            </w:pPr>
            <w:r/>
            <w:r>
              <w:rPr>
                <w:rFonts w:ascii="Times New Roman" w:hAnsi="Times New Roman" w:cs="Times New Roman"/>
                <w:b w:val="0"/>
                <w:sz w:val="24"/>
                <w:u w:val="none"/>
              </w:rPr>
              <w:t>23/U/1529</w:t>
            </w:r>
          </w:p>
        </w:tc>
      </w:tr>
      <w:tr>
        <w:tc>
          <w:tcPr>
            <w:tcW w:type="dxa" w:w="3120"/>
          </w:tcPr>
          <w:p>
            <w:pPr>
              <w:jc w:val="center"/>
            </w:pPr>
            <w:r/>
            <w:r>
              <w:rPr>
                <w:rFonts w:ascii="Times New Roman" w:hAnsi="Times New Roman" w:cs="Times New Roman"/>
                <w:b w:val="0"/>
                <w:sz w:val="24"/>
                <w:u w:val="none"/>
              </w:rPr>
              <w:t>Amabe Junior Humphrey</w:t>
            </w:r>
          </w:p>
        </w:tc>
        <w:tc>
          <w:tcPr>
            <w:tcW w:type="dxa" w:w="3120"/>
          </w:tcPr>
          <w:p>
            <w:pPr>
              <w:jc w:val="center"/>
            </w:pPr>
            <w:r/>
            <w:r>
              <w:rPr>
                <w:rFonts w:ascii="Times New Roman" w:hAnsi="Times New Roman" w:cs="Times New Roman"/>
                <w:b w:val="0"/>
                <w:sz w:val="24"/>
                <w:u w:val="none"/>
              </w:rPr>
              <w:t>2300705942</w:t>
            </w:r>
          </w:p>
        </w:tc>
        <w:tc>
          <w:tcPr>
            <w:tcW w:type="dxa" w:w="3120"/>
          </w:tcPr>
          <w:p>
            <w:pPr>
              <w:jc w:val="center"/>
            </w:pPr>
            <w:r/>
            <w:r>
              <w:rPr>
                <w:rFonts w:ascii="Times New Roman" w:hAnsi="Times New Roman" w:cs="Times New Roman"/>
                <w:b w:val="0"/>
                <w:sz w:val="24"/>
                <w:u w:val="none"/>
              </w:rPr>
              <w:t>23/U/05942/PS</w:t>
            </w:r>
          </w:p>
        </w:tc>
      </w:tr>
      <w:tr>
        <w:tc>
          <w:tcPr>
            <w:tcW w:type="dxa" w:w="3120"/>
          </w:tcPr>
          <w:p>
            <w:pPr>
              <w:jc w:val="center"/>
            </w:pPr>
            <w:r/>
            <w:r>
              <w:rPr>
                <w:rFonts w:ascii="Times New Roman" w:hAnsi="Times New Roman" w:cs="Times New Roman"/>
                <w:b w:val="0"/>
                <w:sz w:val="24"/>
                <w:u w:val="none"/>
              </w:rPr>
              <w:t>Akanga Andrew</w:t>
            </w:r>
          </w:p>
        </w:tc>
        <w:tc>
          <w:tcPr>
            <w:tcW w:type="dxa" w:w="3120"/>
          </w:tcPr>
          <w:p>
            <w:pPr>
              <w:jc w:val="center"/>
            </w:pPr>
            <w:r/>
            <w:r>
              <w:rPr>
                <w:rFonts w:ascii="Times New Roman" w:hAnsi="Times New Roman" w:cs="Times New Roman"/>
                <w:b w:val="0"/>
                <w:sz w:val="24"/>
                <w:u w:val="none"/>
              </w:rPr>
              <w:t>2300705555</w:t>
            </w:r>
          </w:p>
        </w:tc>
        <w:tc>
          <w:tcPr>
            <w:tcW w:type="dxa" w:w="3120"/>
          </w:tcPr>
          <w:p>
            <w:pPr>
              <w:jc w:val="center"/>
            </w:pPr>
            <w:r/>
            <w:r>
              <w:rPr>
                <w:rFonts w:ascii="Times New Roman" w:hAnsi="Times New Roman" w:cs="Times New Roman"/>
                <w:b w:val="0"/>
                <w:sz w:val="24"/>
                <w:u w:val="none"/>
              </w:rPr>
              <w:t>23/U/05555/PS</w:t>
            </w:r>
          </w:p>
        </w:tc>
      </w:tr>
    </w:tbl>
    <w:p>
      <w:r>
        <w:br w:type="page"/>
      </w:r>
    </w:p>
    <w:p>
      <w:pPr>
        <w:spacing w:before="360" w:after="160"/>
        <w:jc w:val="both"/>
        <w:pBdr>
          <w:bottom w:val="single" w:sz="6" w:space="4" w:color="2E5395"/>
        </w:pBdr>
      </w:pPr>
      <w:r>
        <w:rPr>
          <w:rFonts w:ascii="Times New Roman" w:hAnsi="Times New Roman" w:cs="Times New Roman"/>
          <w:b/>
          <w:sz w:val="24"/>
          <w:u w:val="none"/>
        </w:rPr>
        <w:t>1. Task Overview</w:t>
      </w:r>
    </w:p>
    <w:p>
      <w:pPr>
        <w:jc w:val="both"/>
      </w:pPr>
      <w:r>
        <w:rPr>
          <w:rFonts w:ascii="Times New Roman" w:hAnsi="Times New Roman" w:cs="Times New Roman"/>
          <w:b w:val="0"/>
          <w:sz w:val="24"/>
          <w:u w:val="none"/>
        </w:rPr>
        <w:t>This report documents the Week 5 deliverables assigned to the Project/Requirements Lead role under the team's Task Allocation Plan: checking that the multi-step task wired up this week matches what the project charter promised, and writing the code that enforces the stop conditions named in US-9, specifically the maximum number of iterations and the time limit. The associated deliverables are user story updates, if any, and src/agent/stop_conditions.py.</w:t>
      </w:r>
    </w:p>
    <w:p>
      <w:pPr>
        <w:jc w:val="both"/>
      </w:pPr>
      <w:r>
        <w:rPr>
          <w:rFonts w:ascii="Times New Roman" w:hAnsi="Times New Roman" w:cs="Times New Roman"/>
          <w:b w:val="0"/>
          <w:sz w:val="24"/>
          <w:u w:val="none"/>
        </w:rPr>
        <w:t>The task sits directly on top of Member 2's Week 5 agent loop (src/agent/loop.py, task_contract.py, task_contract.yaml, task_adapter.py). Before this week, task_adapter.py's build_stop_evaluator function was an intentionally open seam: it raised an error naming the exact interface and limits a real stop evaluator would need, because this deliverable did not exist yet. Closing that seam, not only producing a standalone file, was understood to be part of the task, since the file that was already in the repository said so explicitly in its own error message.</w:t>
      </w:r>
    </w:p>
    <w:p>
      <w:pPr>
        <w:jc w:val="both"/>
      </w:pPr>
      <w:r>
        <w:rPr>
          <w:rFonts w:ascii="Times New Roman" w:hAnsi="Times New Roman" w:cs="Times New Roman"/>
          <w:b w:val="0"/>
          <w:sz w:val="24"/>
          <w:u w:val="none"/>
        </w:rPr>
        <w:t>Both deliverables are complete: src/agent/stop_conditions.py, the updated task_adapter.py wiring, the updated adapter tests, a direct unit test file, a demonstration script, the audit document, and one widened user story (US-9) have all been committed to the Checking-that-multi-step-task-matches-what-the-charter-promised branch.</w:t>
      </w:r>
    </w:p>
    <w:p>
      <w:pPr>
        <w:spacing w:before="360" w:after="160"/>
        <w:jc w:val="both"/>
        <w:pBdr>
          <w:bottom w:val="single" w:sz="6" w:space="4" w:color="2E5395"/>
        </w:pBdr>
      </w:pPr>
      <w:r>
        <w:rPr>
          <w:rFonts w:ascii="Times New Roman" w:hAnsi="Times New Roman" w:cs="Times New Roman"/>
          <w:b/>
          <w:sz w:val="24"/>
          <w:u w:val="none"/>
        </w:rPr>
        <w:t>2. Methodology</w:t>
      </w:r>
    </w:p>
    <w:p>
      <w:pPr>
        <w:jc w:val="both"/>
      </w:pPr>
      <w:r>
        <w:rPr>
          <w:rFonts w:ascii="Times New Roman" w:hAnsi="Times New Roman" w:cs="Times New Roman"/>
          <w:b w:val="0"/>
          <w:sz w:val="24"/>
          <w:u w:val="none"/>
        </w:rPr>
        <w:t>The audit half of the task required comparing three things against each other: the charter's own promises (Scope item iv, "one bounded agent loop... with explicit iteration limits and stop conditions," and Success Criteria item v, "the agent halts within its configured iteration limit on every run"), US-9's written acceptance criterion, and what task_contract.yaml and task_adapter.py actually specify and enforce. Member 3's Week 1 "Agent Reasoning Workflow" design note was also checked, since it is the team's own earlier description of what a bounded agent loop was meant to look like.</w:t>
      </w:r>
    </w:p>
    <w:p>
      <w:pPr>
        <w:jc w:val="both"/>
      </w:pPr>
      <w:r>
        <w:rPr>
          <w:rFonts w:ascii="Times New Roman" w:hAnsi="Times New Roman" w:cs="Times New Roman"/>
          <w:b w:val="0"/>
          <w:sz w:val="24"/>
          <w:u w:val="none"/>
        </w:rPr>
        <w:t>While this audit was in progress, Member 4 (Quality/Security Lead) had an in-progress branch containing a stand-in implementation of the same stop-condition policy, built so their own test suite would not be blocked waiting for this deliverable to land. That stand-in's class name and the four conditions it checked were used as a cross-check against this week's independently-derived design before writing the real module, since matching an already-agreed interface matters more than arriving at the same design by coincidence.</w:t>
      </w:r>
    </w:p>
    <w:p>
      <w:pPr>
        <w:jc w:val="both"/>
      </w:pPr>
      <w:r>
        <w:rPr>
          <w:rFonts w:ascii="Times New Roman" w:hAnsi="Times New Roman" w:cs="Times New Roman"/>
          <w:b w:val="0"/>
          <w:sz w:val="24"/>
          <w:u w:val="none"/>
        </w:rPr>
        <w:t>Partway through this work, Member 4 merged their finished Week 5 deliverable into the shared repository: a complete tests/test_stop_conditions.py containing their own real stand-in policy, loop-integration tests for all four stop conditions, and three generated execution traces. To keep the two deliverables from colliding when merged, the repository was pulled again before this work was committed. Because the earlier draft of src/agent/stop_conditions.py had not yet been committed to version control, the pull reverted it along with the related adapter changes, so the module, its wiring, and its tests were rebuilt from scratch against Member 4's real, final file rather than the earlier in-progress branch. The rebuilt module was then substituted into Member 4's own four integration scenarios in place of their stand-in, without editing their file, to confirm it produces identical results before being committed.</w:t>
      </w:r>
    </w:p>
    <w:p>
      <w:pPr>
        <w:spacing w:before="360" w:after="160"/>
        <w:jc w:val="both"/>
        <w:pBdr>
          <w:bottom w:val="single" w:sz="6" w:space="4" w:color="2E5395"/>
        </w:pBdr>
      </w:pPr>
      <w:r>
        <w:rPr>
          <w:rFonts w:ascii="Times New Roman" w:hAnsi="Times New Roman" w:cs="Times New Roman"/>
          <w:b/>
          <w:sz w:val="24"/>
          <w:u w:val="none"/>
        </w:rPr>
        <w:t>3. Audit Findings</w:t>
      </w:r>
    </w:p>
    <w:p>
      <w:pPr>
        <w:jc w:val="both"/>
      </w:pPr>
      <w:r>
        <w:rPr>
          <w:rFonts w:ascii="Times New Roman" w:hAnsi="Times New Roman" w:cs="Times New Roman"/>
          <w:b w:val="0"/>
          <w:sz w:val="24"/>
          <w:u w:val="none"/>
        </w:rPr>
        <w:t>task_contract.yaml's tools list and its two limits (max_iterations: 5, wall_clock_budget_seconds: 120) were confirmed to match the charter: the four tools named are exactly the four with real implementations in src/tools/, and the charter's Scope item (iv) calls for iteration limits and stop conditions without naming a specific figure, so no numeric mismatch exists to resolve. Before this week, these limits were documented as intent only, since build_stop_evaluator raised an error instead of enforcing them.</w:t>
      </w:r>
    </w:p>
    <w:p>
      <w:pPr>
        <w:jc w:val="both"/>
      </w:pPr>
      <w:r>
        <w:rPr>
          <w:rFonts w:ascii="Times New Roman" w:hAnsi="Times New Roman" w:cs="Times New Roman"/>
          <w:b w:val="0"/>
          <w:sz w:val="24"/>
          <w:u w:val="none"/>
        </w:rPr>
        <w:t>One real mismatch was found. The task sheet for this week treats US-9 as already covering a time limit ("the stop conditions from US-9, such as the maximum number of iterations and the time limit"), but US-9's acceptance criterion as written before this week named only the iteration cap, with no mention of a wall-clock budget, a repeated identical call, or a step yielding no new information, even though Member 3's Week 1 design note and Member 4's own Week 5 test suite both describe all four. Section 4 records the correction.</w:t>
      </w:r>
    </w:p>
    <w:p>
      <w:pPr>
        <w:jc w:val="both"/>
      </w:pPr>
      <w:r>
        <w:rPr>
          <w:rFonts w:ascii="Times New Roman" w:hAnsi="Times New Roman" w:cs="Times New Roman"/>
          <w:b w:val="0"/>
          <w:sz w:val="24"/>
          <w:u w:val="none"/>
        </w:rPr>
        <w:t>A second, unrelated gap was found while tracing the same contract forward: US-5's failure-summary type, defined in src/models/types.py since Week 2, is not referenced anywhere in the pipeline this week's contract actually drives. task_contract.yaml's goal text does not ask for one, src/tools/run_tests.py returns raw test results with no summarisation step, and src/tools/draft_issue.py's schema has no field tying it back to a FailureSummary. This is recorded as an open item rather than a document change, since US-5's own wording is accurate about what the finished feature must do; the gap is that no later integration step has wired it in yet.</w:t>
      </w:r>
    </w:p>
    <w:p>
      <w:pPr>
        <w:spacing w:before="360" w:after="160"/>
        <w:jc w:val="both"/>
        <w:pBdr>
          <w:bottom w:val="single" w:sz="6" w:space="4" w:color="2E5395"/>
        </w:pBdr>
      </w:pPr>
      <w:r>
        <w:rPr>
          <w:rFonts w:ascii="Times New Roman" w:hAnsi="Times New Roman" w:cs="Times New Roman"/>
          <w:b/>
          <w:sz w:val="24"/>
          <w:u w:val="none"/>
        </w:rPr>
        <w:t>4. User Story Update (US-9)</w:t>
      </w:r>
    </w:p>
    <w:p>
      <w:pPr>
        <w:jc w:val="both"/>
      </w:pPr>
      <w:r>
        <w:rPr>
          <w:rFonts w:ascii="Times New Roman" w:hAnsi="Times New Roman" w:cs="Times New Roman"/>
          <w:b w:val="0"/>
          <w:sz w:val="24"/>
          <w:u w:val="none"/>
        </w:rPr>
        <w:t>US-9's acceptance criterion has been widened in docs/requirements/Project_charter and user stories.docx, in the same style as the amendments already made to US-11 in Week 2 and US-8 in Week 4: widening a criterion's wording after finding a real gap between what it promises and what the system now actually does, rather than adding a new user story. The acceptance criterion read:</w:t>
      </w:r>
    </w:p>
    <w:p>
      <w:pPr>
        <w:jc w:val="both"/>
      </w:pPr>
      <w:r>
        <w:rPr>
          <w:rFonts w:ascii="Times New Roman" w:hAnsi="Times New Roman" w:cs="Times New Roman"/>
          <w:b w:val="0"/>
          <w:sz w:val="24"/>
          <w:u w:val="none"/>
        </w:rPr>
        <w:t>"The agent's loop halts automatically once a configured maximum iteration count is reached, and this event appears in the trace/log."</w:t>
      </w:r>
    </w:p>
    <w:p>
      <w:pPr>
        <w:jc w:val="both"/>
      </w:pPr>
      <w:r>
        <w:rPr>
          <w:rFonts w:ascii="Times New Roman" w:hAnsi="Times New Roman" w:cs="Times New Roman"/>
          <w:b w:val="0"/>
          <w:sz w:val="24"/>
          <w:u w:val="none"/>
        </w:rPr>
        <w:t>It now reads:</w:t>
      </w:r>
    </w:p>
    <w:p>
      <w:pPr>
        <w:jc w:val="both"/>
      </w:pPr>
      <w:r>
        <w:rPr>
          <w:rFonts w:ascii="Times New Roman" w:hAnsi="Times New Roman" w:cs="Times New Roman"/>
          <w:b w:val="0"/>
          <w:sz w:val="24"/>
          <w:u w:val="none"/>
        </w:rPr>
        <w:t>"The agent's loop halts automatically once a configured maximum iteration count is reached, and this event appears in the trace/log. The same automatic halt, each producing its own trace event, also applies when a configured wall-clock time budget is exceeded, when the agent proposes an identical action with identical arguments more than once, and when two consecutive tool calls return identical output with no new information."</w:t>
      </w:r>
    </w:p>
    <w:p>
      <w:pPr>
        <w:jc w:val="both"/>
      </w:pPr>
      <w:r>
        <w:rPr>
          <w:rFonts w:ascii="Times New Roman" w:hAnsi="Times New Roman" w:cs="Times New Roman"/>
          <w:b w:val="0"/>
          <w:sz w:val="24"/>
          <w:u w:val="none"/>
        </w:rPr>
        <w:t>The story's own first sentence ("as a Developer, I want to have the agent stop on its own after a bounded number of steps") did not need a change; it already describes the general intent broadly enough to cover all four conditions. Only the acceptance criterion was too narrow for what the charter's Scope item (iv) and the team's own design documents already called for.</w:t>
      </w:r>
    </w:p>
    <w:p>
      <w:pPr>
        <w:spacing w:before="360" w:after="160"/>
        <w:jc w:val="both"/>
        <w:pBdr>
          <w:bottom w:val="single" w:sz="6" w:space="4" w:color="2E5395"/>
        </w:pBdr>
      </w:pPr>
      <w:r>
        <w:rPr>
          <w:rFonts w:ascii="Times New Roman" w:hAnsi="Times New Roman" w:cs="Times New Roman"/>
          <w:b/>
          <w:sz w:val="24"/>
          <w:u w:val="none"/>
        </w:rPr>
        <w:t>5. The Stop-Conditions Implementation (src/agent/stop_conditions.py)</w:t>
      </w:r>
    </w:p>
    <w:p>
      <w:pPr>
        <w:jc w:val="both"/>
      </w:pPr>
      <w:r>
        <w:rPr>
          <w:rFonts w:ascii="Times New Roman" w:hAnsi="Times New Roman" w:cs="Times New Roman"/>
          <w:b w:val="0"/>
          <w:sz w:val="24"/>
          <w:u w:val="none"/>
        </w:rPr>
        <w:t>The module implements StopConditionPolicy, satisfying the agent.loop.StopEvaluator interface the loop was already built against: evaluate(state) returns a StopReason to halt, or None to allow another turn. Four conditions are checked, in this fixed order: a hard iteration cap; a wall-clock budget, measured from the policy's own first evaluate() call using an injectable clock, since LoopState carries no timestamps of its own; an identical repeated call, comparing a proposal's action and arguments against the one immediately before it; and no new information, comparing the two most recent executed observations' output directly. Iteration cap and wall-clock budget take precedence over the latter two, since they are hard ceilings regardless of why the loop is still running.</w:t>
      </w:r>
    </w:p>
    <w:p>
      <w:pPr>
        <w:jc w:val="both"/>
      </w:pPr>
      <w:r>
        <w:rPr>
          <w:rFonts w:ascii="Times New Roman" w:hAnsi="Times New Roman" w:cs="Times New Roman"/>
          <w:b w:val="0"/>
          <w:sz w:val="24"/>
          <w:u w:val="none"/>
        </w:rPr>
        <w:t>The repeated-call and no-new-information checks deliberately compare only the two most recent observations, matching Member 4's real Week 5 test file exactly, rather than scanning the whole session history. This is narrower than an earlier draft of this module used, and the choice was made specifically so the module behaves exactly as Member 4's own, already-written tests already assume.</w:t>
      </w:r>
    </w:p>
    <w:p>
      <w:pPr>
        <w:jc w:val="both"/>
      </w:pPr>
      <w:r>
        <w:rPr>
          <w:rFonts w:ascii="Times New Roman" w:hAnsi="Times New Roman" w:cs="Times New Roman"/>
          <w:b w:val="0"/>
          <w:sz w:val="24"/>
          <w:u w:val="none"/>
        </w:rPr>
        <w:t>build_stop_evaluator in src/agent/task_adapter.py now returns StopConditionPolicy.from_contract(contract) instead of raising an error, closing the seam the Week 4 version of that file documented. tests/test_task_adapter.py's two placeholder seam tests, one of which asserted stop_conditions.py does not exist, have been replaced with tests confirming the real evaluator is returned and that it genuinely enforces the shipped contract's iteration cap, not merely that it is the right type.</w:t>
      </w:r>
    </w:p>
    <w:p>
      <w:pPr>
        <w:spacing w:before="360" w:after="160"/>
        <w:jc w:val="both"/>
        <w:pBdr>
          <w:bottom w:val="single" w:sz="6" w:space="4" w:color="2E5395"/>
        </w:pBdr>
      </w:pPr>
      <w:r>
        <w:rPr>
          <w:rFonts w:ascii="Times New Roman" w:hAnsi="Times New Roman" w:cs="Times New Roman"/>
          <w:b/>
          <w:sz w:val="24"/>
          <w:u w:val="none"/>
        </w:rPr>
        <w:t>6. Verification</w:t>
      </w:r>
    </w:p>
    <w:p>
      <w:pPr>
        <w:jc w:val="both"/>
      </w:pPr>
      <w:r>
        <w:rPr>
          <w:rFonts w:ascii="Times New Roman" w:hAnsi="Times New Roman" w:cs="Times New Roman"/>
          <w:b w:val="0"/>
          <w:sz w:val="24"/>
          <w:u w:val="none"/>
        </w:rPr>
        <w:t>The full automated test suite, run from a local mirror of the exact files now committed to the repository, passes at 80 tests: 19 new direct unit tests in tests/test_stop_conditions_unit.py, 3 updated tests in tests/test_task_adapter.py, Member 4's own 16 tests in tests/test_stop_conditions.py (left completely unedited), and every pre-existing test elsewhere in the suite.</w:t>
      </w:r>
    </w:p>
    <w:p>
      <w:pPr>
        <w:ind w:left="432"/>
      </w:pPr>
      <w:r>
        <w:rPr>
          <w:rFonts w:ascii="Consolas" w:hAnsi="Consolas"/>
          <w:sz w:val="21"/>
        </w:rPr>
        <w:t>PS&gt; $env:PYTHONPATH = "src"</w:t>
      </w:r>
    </w:p>
    <w:p>
      <w:pPr>
        <w:ind w:left="432"/>
      </w:pPr>
      <w:r>
        <w:rPr>
          <w:rFonts w:ascii="Consolas" w:hAnsi="Consolas"/>
          <w:sz w:val="21"/>
        </w:rPr>
        <w:t>PS&gt; python -m unittest discover -s tests -v</w:t>
      </w:r>
    </w:p>
    <w:p>
      <w:pPr>
        <w:jc w:val="both"/>
      </w:pPr>
      <w:r>
        <w:rPr>
          <w:rFonts w:ascii="Times New Roman" w:hAnsi="Times New Roman" w:cs="Times New Roman"/>
          <w:b w:val="0"/>
          <w:sz w:val="24"/>
          <w:u w:val="none"/>
        </w:rPr>
        <w:t>Result: Ran 80 tests in 3.4s, OK.</w:t>
      </w:r>
    </w:p>
    <w:p>
      <w:pPr>
        <w:jc w:val="both"/>
      </w:pPr>
      <w:r>
        <w:rPr>
          <w:rFonts w:ascii="Times New Roman" w:hAnsi="Times New Roman" w:cs="Times New Roman"/>
          <w:b w:val="0"/>
          <w:sz w:val="24"/>
          <w:u w:val="none"/>
        </w:rPr>
        <w:t>Beyond the automated suite, the real StopConditionPolicy was run directly through Member 4's own four loop-integration scenarios, iteration cap, repeated call, no new information, and a normal completion, in place of their embedded stand-in, without editing their file. It produced the identical halt reason in every case, confirming the real module is a behavioural match for what their tests already assume, not just a class with the same name.</w:t>
      </w:r>
    </w:p>
    <w:p>
      <w:pPr>
        <w:ind w:left="432"/>
      </w:pPr>
      <w:r>
        <w:rPr>
          <w:rFonts w:ascii="Consolas" w:hAnsi="Consolas"/>
          <w:sz w:val="21"/>
        </w:rPr>
        <w:t>PS&gt; python scripts\member1_stop_conditions_smoke.py</w:t>
      </w:r>
    </w:p>
    <w:p>
      <w:pPr>
        <w:jc w:val="both"/>
      </w:pPr>
      <w:r>
        <w:rPr>
          <w:rFonts w:ascii="Times New Roman" w:hAnsi="Times New Roman" w:cs="Times New Roman"/>
          <w:b w:val="0"/>
          <w:sz w:val="24"/>
          <w:u w:val="none"/>
        </w:rPr>
        <w:t>This demonstration script exercises all four stop conditions plus a normal, unhalted session, printing the halt reason reached after each scripted turn. All five traces behaved as expected on the run recorded for this report.</w:t>
      </w:r>
    </w:p>
    <w:p>
      <w:pPr>
        <w:jc w:val="both"/>
      </w:pPr>
      <w:r>
        <w:rPr>
          <w:rFonts w:ascii="Times New Roman" w:hAnsi="Times New Roman" w:cs="Times New Roman"/>
          <w:b w:val="0"/>
          <w:sz w:val="24"/>
          <w:u w:val="none"/>
        </w:rPr>
        <w:t>The updated charter document was validated against the original file with the docx skill's structural XSD validator (all checks passed, paragraph count unchanged) and re-rendered to PDF for a page-by-page visual check that the US-9 cell reads correctly and introduces no formatting damage.</w:t>
      </w:r>
    </w:p>
    <w:p>
      <w:pPr>
        <w:spacing w:before="360" w:after="160"/>
        <w:jc w:val="both"/>
        <w:pBdr>
          <w:bottom w:val="single" w:sz="6" w:space="4" w:color="2E5395"/>
        </w:pBdr>
      </w:pPr>
      <w:r>
        <w:rPr>
          <w:rFonts w:ascii="Times New Roman" w:hAnsi="Times New Roman" w:cs="Times New Roman"/>
          <w:b/>
          <w:sz w:val="24"/>
          <w:u w:val="none"/>
        </w:rPr>
        <w:t>7. Conclusion and Next Steps</w:t>
      </w:r>
    </w:p>
    <w:p>
      <w:pPr>
        <w:jc w:val="both"/>
      </w:pPr>
      <w:r>
        <w:rPr>
          <w:rFonts w:ascii="Times New Roman" w:hAnsi="Times New Roman" w:cs="Times New Roman"/>
          <w:b w:val="0"/>
          <w:sz w:val="24"/>
          <w:u w:val="none"/>
        </w:rPr>
        <w:t>Both Week 5 deliverables are complete, committed to the Checking-that-multi-step-task-matches-what-the-charter-promised branch, and verified against Member 4's real, merged test file rather than an earlier summary of it. US-9's acceptance criterion now matches what the code actually enforces and what the charter's own Scope section already called for. One item is recommended for follow-up with the wider team: US-5's FailureSummary type is still not wired into task_contract.yaml's goal text or draft_issue's schema, and this should be picked up by whoever extends run_tests or draft_issue next, or by the prompt-contract owner, since the charter's own end-to-end workflow promise depends on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