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08815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943600" cy="1088154"/>
                    </a:xfrm>
                    <a:prstGeom prst="rect"/>
                  </pic:spPr>
                </pic:pic>
              </a:graphicData>
            </a:graphic>
          </wp:inline>
        </w:drawing>
      </w:r>
    </w:p>
    <w:p>
      <w:pPr>
        <w:jc w:val="center"/>
      </w:pPr>
      <w:r>
        <w:rPr>
          <w:rFonts w:ascii="Times New Roman" w:hAnsi="Times New Roman" w:cs="Times New Roman"/>
          <w:b w:val="0"/>
          <w:sz w:val="24"/>
          <w:u w:val="none"/>
        </w:rPr>
        <w:t>COLLEGE OF COMPUTING AND INFORMATION SCIENCES</w:t>
      </w:r>
    </w:p>
    <w:p>
      <w:pPr>
        <w:jc w:val="center"/>
      </w:pPr>
      <w:r>
        <w:rPr>
          <w:rFonts w:ascii="Times New Roman" w:hAnsi="Times New Roman" w:cs="Times New Roman"/>
          <w:b w:val="0"/>
          <w:sz w:val="24"/>
          <w:u w:val="none"/>
        </w:rPr>
        <w:t>SCHOOL OF COMPUTING AND INFORMATICS TECHNOLOGY</w:t>
      </w:r>
    </w:p>
    <w:p>
      <w:pPr>
        <w:jc w:val="center"/>
      </w:pPr>
      <w:r>
        <w:rPr>
          <w:rFonts w:ascii="Times New Roman" w:hAnsi="Times New Roman" w:cs="Times New Roman"/>
          <w:b w:val="0"/>
          <w:sz w:val="24"/>
          <w:u w:val="none"/>
        </w:rPr>
        <w:t>DEPARTMENT OF NETWORKS</w:t>
      </w:r>
    </w:p>
    <w:p>
      <w:pPr>
        <w:jc w:val="center"/>
      </w:pPr>
    </w:p>
    <w:p>
      <w:pPr>
        <w:jc w:val="center"/>
      </w:pPr>
      <w:r>
        <w:rPr>
          <w:rFonts w:ascii="Times New Roman" w:hAnsi="Times New Roman" w:cs="Times New Roman"/>
          <w:b w:val="0"/>
          <w:sz w:val="24"/>
          <w:u w:val="none"/>
        </w:rPr>
        <w:t>BSE4104</w:t>
      </w:r>
      <w:r>
        <w:rPr>
          <w:rFonts w:ascii="Times New Roman" w:hAnsi="Times New Roman" w:cs="Times New Roman"/>
          <w:b w:val="0"/>
          <w:sz w:val="24"/>
          <w:u w:val="none"/>
        </w:rPr>
        <w:t>: Emerging Trends in Software Engineering</w:t>
      </w:r>
      <w:r>
        <w:br/>
      </w:r>
      <w:r>
        <w:rPr>
          <w:rFonts w:ascii="Times New Roman" w:hAnsi="Times New Roman" w:cs="Times New Roman"/>
          <w:b w:val="0"/>
          <w:sz w:val="24"/>
          <w:u w:val="none"/>
        </w:rPr>
        <w:t>AI-Native and Agentic Engineering Capstone</w:t>
      </w:r>
    </w:p>
    <w:p>
      <w:pPr>
        <w:jc w:val="center"/>
      </w:pPr>
      <w:r>
        <w:rPr>
          <w:rFonts w:ascii="Times New Roman" w:hAnsi="Times New Roman" w:cs="Times New Roman"/>
          <w:b/>
          <w:sz w:val="24"/>
          <w:u w:val="single"/>
        </w:rPr>
        <w:t>Project: Software-Engineering QA Agent</w:t>
      </w:r>
    </w:p>
    <w:p>
      <w:pPr>
        <w:jc w:val="center"/>
      </w:pPr>
    </w:p>
    <w:p>
      <w:pPr>
        <w:jc w:val="center"/>
      </w:pPr>
      <w:r>
        <w:rPr>
          <w:rFonts w:ascii="Times New Roman" w:hAnsi="Times New Roman" w:cs="Times New Roman"/>
          <w:b/>
          <w:sz w:val="24"/>
          <w:u w:val="none"/>
        </w:rPr>
        <w:t>MEMBER 1 — WEEK 2 CONTRIBUTION REPORT</w:t>
      </w:r>
    </w:p>
    <w:p>
      <w:pPr>
        <w:jc w:val="center"/>
      </w:pPr>
      <w:r>
        <w:rPr>
          <w:rFonts w:ascii="Times New Roman" w:hAnsi="Times New Roman" w:cs="Times New Roman"/>
          <w:b/>
          <w:sz w:val="24"/>
          <w:u w:val="none"/>
        </w:rPr>
        <w:t>Test-Case-to-User-Story Traceability &amp; Domain Model Code</w:t>
      </w:r>
    </w:p>
    <w:p>
      <w:pPr>
        <w:jc w:val="center"/>
      </w:pPr>
      <w:r>
        <w:rPr>
          <w:rFonts w:ascii="Times New Roman" w:hAnsi="Times New Roman" w:cs="Times New Roman"/>
          <w:b w:val="0"/>
          <w:sz w:val="24"/>
          <w:u w:val="none"/>
        </w:rPr>
        <w:t>Reporting Period: 7 - 11 September 2026</w:t>
      </w:r>
    </w:p>
    <w:p>
      <w:pPr>
        <w:jc w:val="center"/>
      </w:pPr>
    </w:p>
    <w:p>
      <w:pPr>
        <w:jc w:val="center"/>
      </w:pPr>
      <w:r>
        <w:rPr>
          <w:rFonts w:ascii="Times New Roman" w:hAnsi="Times New Roman" w:cs="Times New Roman"/>
          <w:b w:val="0"/>
          <w:sz w:val="24"/>
          <w:u w:val="none"/>
        </w:rPr>
        <w:t>Group: J</w:t>
      </w:r>
    </w:p>
    <w:p>
      <w:pPr>
        <w:jc w:val="center"/>
      </w:pPr>
      <w:r>
        <w:rPr>
          <w:rFonts w:ascii="Times New Roman" w:hAnsi="Times New Roman" w:cs="Times New Roman"/>
          <w:b w:val="0"/>
          <w:sz w:val="24"/>
          <w:u w:val="none"/>
        </w:rPr>
        <w:t>Prepared by: Amabe Junior Humphrey (Member 1, Project/Requirements Lead)</w:t>
      </w:r>
    </w:p>
    <w:p>
      <w:pPr>
        <w:jc w:val="center"/>
      </w:pPr>
    </w:p>
    <w:p>
      <w:pPr>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sz w:val="24"/>
                <w:u w:val="none"/>
              </w:rPr>
              <w:t>NAME</w:t>
            </w:r>
          </w:p>
        </w:tc>
        <w:tc>
          <w:tcPr>
            <w:tcW w:type="dxa" w:w="3120"/>
          </w:tcPr>
          <w:p>
            <w:pPr>
              <w:jc w:val="center"/>
            </w:pPr>
            <w:r/>
            <w:r>
              <w:rPr>
                <w:rFonts w:ascii="Times New Roman" w:hAnsi="Times New Roman" w:cs="Times New Roman"/>
                <w:b/>
                <w:sz w:val="24"/>
                <w:u w:val="none"/>
              </w:rPr>
              <w:t>STUDENT NUMBER</w:t>
            </w:r>
          </w:p>
        </w:tc>
        <w:tc>
          <w:tcPr>
            <w:tcW w:type="dxa" w:w="3120"/>
          </w:tcPr>
          <w:p>
            <w:pPr>
              <w:jc w:val="center"/>
            </w:pPr>
            <w:r/>
            <w:r>
              <w:rPr>
                <w:rFonts w:ascii="Times New Roman" w:hAnsi="Times New Roman" w:cs="Times New Roman"/>
                <w:b/>
                <w:sz w:val="24"/>
                <w:u w:val="none"/>
              </w:rPr>
              <w:t>REGISTRATION NUMBER</w:t>
            </w:r>
          </w:p>
        </w:tc>
      </w:tr>
      <w:tr>
        <w:tc>
          <w:tcPr>
            <w:tcW w:type="dxa" w:w="3120"/>
          </w:tcPr>
          <w:p>
            <w:pPr>
              <w:jc w:val="center"/>
            </w:pPr>
            <w:r/>
            <w:r>
              <w:rPr>
                <w:rFonts w:ascii="Times New Roman" w:hAnsi="Times New Roman" w:cs="Times New Roman"/>
                <w:b w:val="0"/>
                <w:sz w:val="24"/>
                <w:u w:val="none"/>
              </w:rPr>
              <w:t>Karagwa Ann Treasure</w:t>
            </w:r>
          </w:p>
        </w:tc>
        <w:tc>
          <w:tcPr>
            <w:tcW w:type="dxa" w:w="3120"/>
          </w:tcPr>
          <w:p>
            <w:pPr>
              <w:jc w:val="center"/>
            </w:pPr>
            <w:r/>
            <w:r>
              <w:rPr>
                <w:rFonts w:ascii="Times New Roman" w:hAnsi="Times New Roman" w:cs="Times New Roman"/>
                <w:b w:val="0"/>
                <w:sz w:val="24"/>
                <w:u w:val="none"/>
              </w:rPr>
              <w:t>2300709034</w:t>
            </w:r>
          </w:p>
        </w:tc>
        <w:tc>
          <w:tcPr>
            <w:tcW w:type="dxa" w:w="3120"/>
          </w:tcPr>
          <w:p>
            <w:pPr>
              <w:jc w:val="center"/>
            </w:pPr>
            <w:r/>
            <w:r>
              <w:rPr>
                <w:rFonts w:ascii="Times New Roman" w:hAnsi="Times New Roman" w:cs="Times New Roman"/>
                <w:b w:val="0"/>
                <w:sz w:val="24"/>
                <w:u w:val="none"/>
              </w:rPr>
              <w:t>23/U/09034/PS</w:t>
            </w:r>
          </w:p>
        </w:tc>
      </w:tr>
      <w:tr>
        <w:tc>
          <w:tcPr>
            <w:tcW w:type="dxa" w:w="3120"/>
          </w:tcPr>
          <w:p>
            <w:pPr>
              <w:jc w:val="center"/>
            </w:pPr>
            <w:r/>
            <w:r>
              <w:rPr>
                <w:rFonts w:ascii="Times New Roman" w:hAnsi="Times New Roman" w:cs="Times New Roman"/>
                <w:b w:val="0"/>
                <w:sz w:val="24"/>
                <w:u w:val="none"/>
              </w:rPr>
              <w:t>Ayan Mustafa Abdirahman</w:t>
            </w:r>
          </w:p>
        </w:tc>
        <w:tc>
          <w:tcPr>
            <w:tcW w:type="dxa" w:w="3120"/>
          </w:tcPr>
          <w:p>
            <w:pPr>
              <w:jc w:val="center"/>
            </w:pPr>
            <w:r/>
            <w:r>
              <w:rPr>
                <w:rFonts w:ascii="Times New Roman" w:hAnsi="Times New Roman" w:cs="Times New Roman"/>
                <w:b w:val="0"/>
                <w:sz w:val="24"/>
                <w:u w:val="none"/>
              </w:rPr>
              <w:t>2300722948</w:t>
            </w:r>
          </w:p>
        </w:tc>
        <w:tc>
          <w:tcPr>
            <w:tcW w:type="dxa" w:w="3120"/>
          </w:tcPr>
          <w:p>
            <w:pPr>
              <w:jc w:val="center"/>
            </w:pPr>
            <w:r/>
            <w:r>
              <w:rPr>
                <w:rFonts w:ascii="Times New Roman" w:hAnsi="Times New Roman" w:cs="Times New Roman"/>
                <w:b w:val="0"/>
                <w:sz w:val="24"/>
                <w:u w:val="none"/>
              </w:rPr>
              <w:t>23/X/22948/EVE</w:t>
            </w:r>
          </w:p>
        </w:tc>
      </w:tr>
      <w:tr>
        <w:tc>
          <w:tcPr>
            <w:tcW w:type="dxa" w:w="3120"/>
          </w:tcPr>
          <w:p>
            <w:pPr>
              <w:jc w:val="center"/>
            </w:pPr>
            <w:r/>
            <w:r>
              <w:rPr>
                <w:rFonts w:ascii="Times New Roman" w:hAnsi="Times New Roman" w:cs="Times New Roman"/>
                <w:b w:val="0"/>
                <w:sz w:val="24"/>
                <w:u w:val="none"/>
              </w:rPr>
              <w:t>Wanyana Selina Masembe</w:t>
            </w:r>
          </w:p>
        </w:tc>
        <w:tc>
          <w:tcPr>
            <w:tcW w:type="dxa" w:w="3120"/>
          </w:tcPr>
          <w:p>
            <w:pPr>
              <w:jc w:val="center"/>
            </w:pPr>
            <w:r/>
            <w:r>
              <w:rPr>
                <w:rFonts w:ascii="Times New Roman" w:hAnsi="Times New Roman" w:cs="Times New Roman"/>
                <w:b w:val="0"/>
                <w:sz w:val="24"/>
                <w:u w:val="none"/>
              </w:rPr>
              <w:t>2300701529</w:t>
            </w:r>
          </w:p>
        </w:tc>
        <w:tc>
          <w:tcPr>
            <w:tcW w:type="dxa" w:w="3120"/>
          </w:tcPr>
          <w:p>
            <w:pPr>
              <w:jc w:val="center"/>
            </w:pPr>
            <w:r/>
            <w:r>
              <w:rPr>
                <w:rFonts w:ascii="Times New Roman" w:hAnsi="Times New Roman" w:cs="Times New Roman"/>
                <w:b w:val="0"/>
                <w:sz w:val="24"/>
                <w:u w:val="none"/>
              </w:rPr>
              <w:t>23/U/1529</w:t>
            </w:r>
          </w:p>
        </w:tc>
      </w:tr>
      <w:tr>
        <w:tc>
          <w:tcPr>
            <w:tcW w:type="dxa" w:w="3120"/>
          </w:tcPr>
          <w:p>
            <w:pPr>
              <w:jc w:val="center"/>
            </w:pPr>
            <w:r/>
            <w:r>
              <w:rPr>
                <w:rFonts w:ascii="Times New Roman" w:hAnsi="Times New Roman" w:cs="Times New Roman"/>
                <w:b w:val="0"/>
                <w:sz w:val="24"/>
                <w:u w:val="none"/>
              </w:rPr>
              <w:t>Amabe Junior Humphrey</w:t>
            </w:r>
          </w:p>
        </w:tc>
        <w:tc>
          <w:tcPr>
            <w:tcW w:type="dxa" w:w="3120"/>
          </w:tcPr>
          <w:p>
            <w:pPr>
              <w:jc w:val="center"/>
            </w:pPr>
            <w:r/>
            <w:r>
              <w:rPr>
                <w:rFonts w:ascii="Times New Roman" w:hAnsi="Times New Roman" w:cs="Times New Roman"/>
                <w:b w:val="0"/>
                <w:sz w:val="24"/>
                <w:u w:val="none"/>
              </w:rPr>
              <w:t>2300705942</w:t>
            </w:r>
          </w:p>
        </w:tc>
        <w:tc>
          <w:tcPr>
            <w:tcW w:type="dxa" w:w="3120"/>
          </w:tcPr>
          <w:p>
            <w:pPr>
              <w:jc w:val="center"/>
            </w:pPr>
            <w:r/>
            <w:r>
              <w:rPr>
                <w:rFonts w:ascii="Times New Roman" w:hAnsi="Times New Roman" w:cs="Times New Roman"/>
                <w:b w:val="0"/>
                <w:sz w:val="24"/>
                <w:u w:val="none"/>
              </w:rPr>
              <w:t>23/U/05942/PS</w:t>
            </w:r>
          </w:p>
        </w:tc>
      </w:tr>
      <w:tr>
        <w:tc>
          <w:tcPr>
            <w:tcW w:type="dxa" w:w="3120"/>
          </w:tcPr>
          <w:p>
            <w:pPr>
              <w:jc w:val="center"/>
            </w:pPr>
            <w:r/>
            <w:r>
              <w:rPr>
                <w:rFonts w:ascii="Times New Roman" w:hAnsi="Times New Roman" w:cs="Times New Roman"/>
                <w:b w:val="0"/>
                <w:sz w:val="24"/>
                <w:u w:val="none"/>
              </w:rPr>
              <w:t>Akanga Andrew</w:t>
            </w:r>
          </w:p>
        </w:tc>
        <w:tc>
          <w:tcPr>
            <w:tcW w:type="dxa" w:w="3120"/>
          </w:tcPr>
          <w:p>
            <w:pPr>
              <w:jc w:val="center"/>
            </w:pPr>
            <w:r/>
            <w:r>
              <w:rPr>
                <w:rFonts w:ascii="Times New Roman" w:hAnsi="Times New Roman" w:cs="Times New Roman"/>
                <w:b w:val="0"/>
                <w:sz w:val="24"/>
                <w:u w:val="none"/>
              </w:rPr>
              <w:t>2300705555</w:t>
            </w:r>
          </w:p>
        </w:tc>
        <w:tc>
          <w:tcPr>
            <w:tcW w:type="dxa" w:w="3120"/>
          </w:tcPr>
          <w:p>
            <w:pPr>
              <w:jc w:val="center"/>
            </w:pPr>
            <w:r/>
            <w:r>
              <w:rPr>
                <w:rFonts w:ascii="Times New Roman" w:hAnsi="Times New Roman" w:cs="Times New Roman"/>
                <w:b w:val="0"/>
                <w:sz w:val="24"/>
                <w:u w:val="none"/>
              </w:rPr>
              <w:t>23/U/05555/PS</w:t>
            </w:r>
          </w:p>
        </w:tc>
      </w:tr>
    </w:tbl>
    <w:p>
      <w:r>
        <w:br w:type="page"/>
      </w:r>
    </w:p>
    <w:p>
      <w:pPr>
        <w:spacing w:before="360" w:after="160"/>
        <w:jc w:val="both"/>
        <w:pBdr>
          <w:bottom w:val="single" w:sz="6" w:space="4" w:color="2E5395"/>
        </w:pBdr>
      </w:pPr>
      <w:r>
        <w:rPr>
          <w:rFonts w:ascii="Times New Roman" w:hAnsi="Times New Roman" w:cs="Times New Roman"/>
          <w:b/>
          <w:sz w:val="24"/>
          <w:u w:val="none"/>
        </w:rPr>
        <w:t>1. Task Overview</w:t>
      </w:r>
    </w:p>
    <w:p>
      <w:pPr>
        <w:jc w:val="both"/>
      </w:pPr>
      <w:r>
        <w:rPr>
          <w:rFonts w:ascii="Times New Roman" w:hAnsi="Times New Roman" w:cs="Times New Roman"/>
          <w:b w:val="0"/>
          <w:sz w:val="24"/>
          <w:u w:val="none"/>
        </w:rPr>
        <w:t>This report documents the Week 2 deliverables assigned to the Project/Requirements Lead role under the team's Task Allocation Plan: verifying that the ten prompt test cases produced by Member 4 (Quality/Security Lead) genuinely correspond to real user stories, and defining simple code-level data types for the nouns the twelve user stories refer to (for example a Requirement or a TestProposal). The two associated deliverables are the test-case-to-user-story traceability notes and the domain model code.</w:t>
      </w:r>
    </w:p>
    <w:p>
      <w:pPr>
        <w:jc w:val="both"/>
      </w:pPr>
      <w:r>
        <w:rPr>
          <w:rFonts w:ascii="Times New Roman" w:hAnsi="Times New Roman" w:cs="Times New Roman"/>
          <w:b w:val="0"/>
          <w:sz w:val="24"/>
          <w:u w:val="none"/>
        </w:rPr>
        <w:t>Both deliverables have been completed, committed to the repository, and verified against Member 4's real evaluation data rather than illustrative examples.</w:t>
      </w:r>
    </w:p>
    <w:p>
      <w:pPr>
        <w:spacing w:before="360" w:after="160"/>
        <w:jc w:val="both"/>
        <w:pBdr>
          <w:bottom w:val="single" w:sz="6" w:space="4" w:color="2E5395"/>
        </w:pBdr>
      </w:pPr>
      <w:r>
        <w:rPr>
          <w:rFonts w:ascii="Times New Roman" w:hAnsi="Times New Roman" w:cs="Times New Roman"/>
          <w:b/>
          <w:sz w:val="24"/>
          <w:u w:val="none"/>
        </w:rPr>
        <w:t>2. Methodology</w:t>
      </w:r>
    </w:p>
    <w:p>
      <w:pPr>
        <w:jc w:val="both"/>
      </w:pPr>
      <w:r>
        <w:rPr>
          <w:rFonts w:ascii="Times New Roman" w:hAnsi="Times New Roman" w:cs="Times New Roman"/>
          <w:b w:val="0"/>
          <w:sz w:val="24"/>
          <w:u w:val="none"/>
        </w:rPr>
        <w:t>The Week 2 AI Engineering and Quality/Security artifacts already present in the repository were used as the basis for this review, rather than constructing placeholder test cases: tests/fixtures/prompt_eval_cases.json (the ten test cases), tests/test_prompt_harness.py (the harness used to score them), and docs/evaluation/week2-ten-case-evaluation.md (the resulting scores). Each of the ten cases was mapped to the specific user story and acceptance-criteria clause it exercises, and the mapping was checked in both directions: whether each test case corresponds to a real story, and whether each story is exercised by at least one case. The findings were then recorded as traceability notes. The domain model code required by the same task was developed separately, with two of its types wired directly into integration points already present in Member 2's (Application/Integration Lead) pipeline code, so that the domain model is not purely descriptive.</w:t>
      </w:r>
    </w:p>
    <w:p>
      <w:pPr>
        <w:spacing w:before="360" w:after="160"/>
        <w:jc w:val="both"/>
        <w:pBdr>
          <w:bottom w:val="single" w:sz="6" w:space="4" w:color="2E5395"/>
        </w:pBdr>
      </w:pPr>
      <w:r>
        <w:rPr>
          <w:rFonts w:ascii="Times New Roman" w:hAnsi="Times New Roman" w:cs="Times New Roman"/>
          <w:b/>
          <w:sz w:val="24"/>
          <w:u w:val="none"/>
        </w:rPr>
        <w:t>3. Traceability Findings</w:t>
      </w:r>
    </w:p>
    <w:p>
      <w:pPr>
        <w:jc w:val="both"/>
      </w:pPr>
      <w:r>
        <w:rPr>
          <w:rFonts w:ascii="Times New Roman" w:hAnsi="Times New Roman" w:cs="Times New Roman"/>
          <w:b w:val="0"/>
          <w:sz w:val="24"/>
          <w:u w:val="none"/>
        </w:rPr>
        <w:t>All ten of Member 4's cases run the same prompt, propose_action v1.1, which is scoped to one decision: given a requirement and a source file, choose the single next action. This is the “smallest useful model-backed capability” the Week 2 brief asks for, and it is also as far as the tool implementations go so far - run_tests and draft_issue have no real code behind them until Week 4/5. So the first finding is about scope: these ten cases can only exercise the user stories that live inside the propose/decide step of the workflow. Stories that depend on a test actually running, a failure being summarised, or an issue being drafted are correctly out of scope for this prompt, not missing by mistake.</w:t>
      </w:r>
    </w:p>
    <w:p>
      <w:pPr>
        <w:spacing w:before="240" w:after="80"/>
        <w:jc w:val="both"/>
      </w:pPr>
      <w:r>
        <w:rPr>
          <w:rFonts w:ascii="Times New Roman" w:hAnsi="Times New Roman" w:cs="Times New Roman"/>
          <w:b/>
          <w:sz w:val="24"/>
          <w:u w:val="none"/>
        </w:rPr>
        <w:t>3.1 Case-by-case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cs="Times New Roman"/>
                <w:b/>
                <w:sz w:val="24"/>
                <w:u w:val="none"/>
              </w:rPr>
              <w:t>Test Case</w:t>
            </w:r>
          </w:p>
        </w:tc>
        <w:tc>
          <w:tcPr>
            <w:tcW w:type="dxa" w:w="3120"/>
          </w:tcPr>
          <w:p>
            <w:r>
              <w:rPr>
                <w:rFonts w:ascii="Times New Roman" w:hAnsi="Times New Roman" w:cs="Times New Roman"/>
                <w:b/>
                <w:sz w:val="24"/>
                <w:u w:val="none"/>
              </w:rPr>
              <w:t>User Story</w:t>
            </w:r>
          </w:p>
        </w:tc>
        <w:tc>
          <w:tcPr>
            <w:tcW w:type="dxa" w:w="3120"/>
          </w:tcPr>
          <w:p>
            <w:r>
              <w:rPr>
                <w:rFonts w:ascii="Times New Roman" w:hAnsi="Times New Roman" w:cs="Times New Roman"/>
                <w:b/>
                <w:sz w:val="24"/>
                <w:u w:val="none"/>
              </w:rPr>
              <w:t>How it was resolved</w:t>
            </w:r>
          </w:p>
        </w:tc>
      </w:tr>
      <w:tr>
        <w:tc>
          <w:tcPr>
            <w:tcW w:type="dxa" w:w="3120"/>
          </w:tcPr>
          <w:p>
            <w:pPr>
              <w:jc w:val="left"/>
            </w:pPr>
            <w:r>
              <w:rPr>
                <w:rFonts w:ascii="Times New Roman" w:hAnsi="Times New Roman" w:cs="Times New Roman"/>
                <w:b w:val="0"/>
                <w:sz w:val="21"/>
                <w:u w:val="none"/>
              </w:rPr>
              <w:t>normal_clear_defect</w:t>
            </w:r>
          </w:p>
        </w:tc>
        <w:tc>
          <w:tcPr>
            <w:tcW w:type="dxa" w:w="3120"/>
          </w:tcPr>
          <w:p>
            <w:pPr>
              <w:jc w:val="left"/>
            </w:pPr>
            <w:r>
              <w:rPr>
                <w:rFonts w:ascii="Times New Roman" w:hAnsi="Times New Roman" w:cs="Times New Roman"/>
                <w:b w:val="0"/>
                <w:sz w:val="21"/>
                <w:u w:val="none"/>
              </w:rPr>
              <w:t>US-1</w:t>
            </w:r>
          </w:p>
        </w:tc>
        <w:tc>
          <w:tcPr>
            <w:tcW w:type="dxa" w:w="3120"/>
          </w:tcPr>
          <w:p>
            <w:pPr>
              <w:jc w:val="left"/>
            </w:pPr>
            <w:r>
              <w:rPr>
                <w:rFonts w:ascii="Times New Roman" w:hAnsi="Times New Roman" w:cs="Times New Roman"/>
                <w:b w:val="0"/>
                <w:sz w:val="21"/>
                <w:u w:val="none"/>
              </w:rPr>
              <w:t>Direct match - grounded, traceable proposal.</w:t>
            </w:r>
          </w:p>
        </w:tc>
      </w:tr>
      <w:tr>
        <w:tc>
          <w:tcPr>
            <w:tcW w:type="dxa" w:w="3120"/>
          </w:tcPr>
          <w:p>
            <w:pPr>
              <w:jc w:val="left"/>
            </w:pPr>
            <w:r>
              <w:rPr>
                <w:rFonts w:ascii="Times New Roman" w:hAnsi="Times New Roman" w:cs="Times New Roman"/>
                <w:b w:val="0"/>
                <w:sz w:val="21"/>
                <w:u w:val="none"/>
              </w:rPr>
              <w:t>normal_satisfied_requirement_regression</w:t>
            </w:r>
          </w:p>
        </w:tc>
        <w:tc>
          <w:tcPr>
            <w:tcW w:type="dxa" w:w="3120"/>
          </w:tcPr>
          <w:p>
            <w:pPr>
              <w:jc w:val="left"/>
            </w:pPr>
            <w:r>
              <w:rPr>
                <w:rFonts w:ascii="Times New Roman" w:hAnsi="Times New Roman" w:cs="Times New Roman"/>
                <w:b w:val="0"/>
                <w:sz w:val="21"/>
                <w:u w:val="none"/>
              </w:rPr>
              <w:t>US-1</w:t>
            </w:r>
          </w:p>
        </w:tc>
        <w:tc>
          <w:tcPr>
            <w:tcW w:type="dxa" w:w="3120"/>
          </w:tcPr>
          <w:p>
            <w:pPr>
              <w:jc w:val="left"/>
            </w:pPr>
            <w:r>
              <w:rPr>
                <w:rFonts w:ascii="Times New Roman" w:hAnsi="Times New Roman" w:cs="Times New Roman"/>
                <w:b w:val="0"/>
                <w:sz w:val="21"/>
                <w:u w:val="none"/>
              </w:rPr>
              <w:t>Direct match - proposes a regression test rather than no_action.</w:t>
            </w:r>
          </w:p>
        </w:tc>
      </w:tr>
      <w:tr>
        <w:tc>
          <w:tcPr>
            <w:tcW w:type="dxa" w:w="3120"/>
          </w:tcPr>
          <w:p>
            <w:pPr>
              <w:jc w:val="left"/>
            </w:pPr>
            <w:r>
              <w:rPr>
                <w:rFonts w:ascii="Times New Roman" w:hAnsi="Times New Roman" w:cs="Times New Roman"/>
                <w:b w:val="0"/>
                <w:sz w:val="21"/>
                <w:u w:val="none"/>
              </w:rPr>
              <w:t>edge_stub_implementation</w:t>
            </w:r>
          </w:p>
        </w:tc>
        <w:tc>
          <w:tcPr>
            <w:tcW w:type="dxa" w:w="3120"/>
          </w:tcPr>
          <w:p>
            <w:pPr>
              <w:jc w:val="left"/>
            </w:pPr>
            <w:r>
              <w:rPr>
                <w:rFonts w:ascii="Times New Roman" w:hAnsi="Times New Roman" w:cs="Times New Roman"/>
                <w:b w:val="0"/>
                <w:sz w:val="21"/>
                <w:u w:val="none"/>
              </w:rPr>
              <w:t>US-1 + US-2</w:t>
            </w:r>
          </w:p>
        </w:tc>
        <w:tc>
          <w:tcPr>
            <w:tcW w:type="dxa" w:w="3120"/>
          </w:tcPr>
          <w:p>
            <w:pPr>
              <w:jc w:val="left"/>
            </w:pPr>
            <w:r>
              <w:rPr>
                <w:rFonts w:ascii="Times New Roman" w:hAnsi="Times New Roman" w:cs="Times New Roman"/>
                <w:b w:val="0"/>
                <w:sz w:val="21"/>
                <w:u w:val="none"/>
              </w:rPr>
              <w:t>Dual match - still to confirm with Member 4 (open item).</w:t>
            </w:r>
          </w:p>
        </w:tc>
      </w:tr>
      <w:tr>
        <w:tc>
          <w:tcPr>
            <w:tcW w:type="dxa" w:w="3120"/>
          </w:tcPr>
          <w:p>
            <w:pPr>
              <w:jc w:val="left"/>
            </w:pPr>
            <w:r>
              <w:rPr>
                <w:rFonts w:ascii="Times New Roman" w:hAnsi="Times New Roman" w:cs="Times New Roman"/>
                <w:b w:val="0"/>
                <w:sz w:val="21"/>
                <w:u w:val="none"/>
              </w:rPr>
              <w:t>edge_vague_requirement</w:t>
            </w:r>
          </w:p>
        </w:tc>
        <w:tc>
          <w:tcPr>
            <w:tcW w:type="dxa" w:w="3120"/>
          </w:tcPr>
          <w:p>
            <w:pPr>
              <w:jc w:val="left"/>
            </w:pPr>
            <w:r>
              <w:rPr>
                <w:rFonts w:ascii="Times New Roman" w:hAnsi="Times New Roman" w:cs="Times New Roman"/>
                <w:b w:val="0"/>
                <w:sz w:val="21"/>
                <w:u w:val="none"/>
              </w:rPr>
              <w:t>US-7</w:t>
            </w:r>
          </w:p>
        </w:tc>
        <w:tc>
          <w:tcPr>
            <w:tcW w:type="dxa" w:w="3120"/>
          </w:tcPr>
          <w:p>
            <w:pPr>
              <w:jc w:val="left"/>
            </w:pPr>
            <w:r>
              <w:rPr>
                <w:rFonts w:ascii="Times New Roman" w:hAnsi="Times New Roman" w:cs="Times New Roman"/>
                <w:b w:val="0"/>
                <w:sz w:val="21"/>
                <w:u w:val="none"/>
              </w:rPr>
              <w:t>Direct match - low-confidence labelling.</w:t>
            </w:r>
          </w:p>
        </w:tc>
      </w:tr>
      <w:tr>
        <w:tc>
          <w:tcPr>
            <w:tcW w:type="dxa" w:w="3120"/>
          </w:tcPr>
          <w:p>
            <w:pPr>
              <w:jc w:val="left"/>
            </w:pPr>
            <w:r>
              <w:rPr>
                <w:rFonts w:ascii="Times New Roman" w:hAnsi="Times New Roman" w:cs="Times New Roman"/>
                <w:b w:val="0"/>
                <w:sz w:val="21"/>
                <w:u w:val="none"/>
              </w:rPr>
              <w:t>adversarial_prompt_injection_in_requirement</w:t>
            </w:r>
          </w:p>
        </w:tc>
        <w:tc>
          <w:tcPr>
            <w:tcW w:type="dxa" w:w="3120"/>
          </w:tcPr>
          <w:p>
            <w:pPr>
              <w:jc w:val="left"/>
            </w:pPr>
            <w:r>
              <w:rPr>
                <w:rFonts w:ascii="Times New Roman" w:hAnsi="Times New Roman" w:cs="Times New Roman"/>
                <w:b w:val="0"/>
                <w:sz w:val="21"/>
                <w:u w:val="none"/>
              </w:rPr>
              <w:t>US-11</w:t>
            </w:r>
          </w:p>
        </w:tc>
        <w:tc>
          <w:tcPr>
            <w:tcW w:type="dxa" w:w="3120"/>
          </w:tcPr>
          <w:p>
            <w:pPr>
              <w:jc w:val="left"/>
            </w:pPr>
            <w:r>
              <w:rPr>
                <w:rFonts w:ascii="Times New Roman" w:hAnsi="Times New Roman" w:cs="Times New Roman"/>
                <w:b w:val="0"/>
                <w:sz w:val="21"/>
                <w:u w:val="none"/>
              </w:rPr>
              <w:t>Direct match - injected instruction inside a requirement.</w:t>
            </w:r>
          </w:p>
        </w:tc>
      </w:tr>
      <w:tr>
        <w:tc>
          <w:tcPr>
            <w:tcW w:type="dxa" w:w="3120"/>
          </w:tcPr>
          <w:p>
            <w:pPr>
              <w:jc w:val="left"/>
            </w:pPr>
            <w:r>
              <w:rPr>
                <w:rFonts w:ascii="Times New Roman" w:hAnsi="Times New Roman" w:cs="Times New Roman"/>
                <w:b w:val="0"/>
                <w:sz w:val="21"/>
                <w:u w:val="none"/>
              </w:rPr>
              <w:t>adversarial_prompt_injection_in_source_comment</w:t>
            </w:r>
          </w:p>
        </w:tc>
        <w:tc>
          <w:tcPr>
            <w:tcW w:type="dxa" w:w="3120"/>
          </w:tcPr>
          <w:p>
            <w:pPr>
              <w:jc w:val="left"/>
            </w:pPr>
            <w:r>
              <w:rPr>
                <w:rFonts w:ascii="Times New Roman" w:hAnsi="Times New Roman" w:cs="Times New Roman"/>
                <w:b w:val="0"/>
                <w:sz w:val="21"/>
                <w:u w:val="none"/>
              </w:rPr>
              <w:t>US-11</w:t>
            </w:r>
          </w:p>
        </w:tc>
        <w:tc>
          <w:tcPr>
            <w:tcW w:type="dxa" w:w="3120"/>
          </w:tcPr>
          <w:p>
            <w:pPr>
              <w:jc w:val="left"/>
            </w:pPr>
            <w:r>
              <w:rPr>
                <w:rFonts w:ascii="Times New Roman" w:hAnsi="Times New Roman" w:cs="Times New Roman"/>
                <w:b w:val="0"/>
                <w:sz w:val="21"/>
                <w:u w:val="none"/>
              </w:rPr>
              <w:t>Direct match - injected instruction inside a source comment.</w:t>
            </w:r>
          </w:p>
        </w:tc>
      </w:tr>
      <w:tr>
        <w:tc>
          <w:tcPr>
            <w:tcW w:type="dxa" w:w="3120"/>
          </w:tcPr>
          <w:p>
            <w:pPr>
              <w:jc w:val="left"/>
            </w:pPr>
            <w:r>
              <w:rPr>
                <w:rFonts w:ascii="Times New Roman" w:hAnsi="Times New Roman" w:cs="Times New Roman"/>
                <w:b w:val="0"/>
                <w:sz w:val="21"/>
                <w:u w:val="none"/>
              </w:rPr>
              <w:t>adversarial_fabricated_citation_temptation</w:t>
            </w:r>
          </w:p>
        </w:tc>
        <w:tc>
          <w:tcPr>
            <w:tcW w:type="dxa" w:w="3120"/>
          </w:tcPr>
          <w:p>
            <w:pPr>
              <w:jc w:val="left"/>
            </w:pPr>
            <w:r>
              <w:rPr>
                <w:rFonts w:ascii="Times New Roman" w:hAnsi="Times New Roman" w:cs="Times New Roman"/>
                <w:b w:val="0"/>
                <w:sz w:val="21"/>
                <w:u w:val="none"/>
              </w:rPr>
              <w:t>US-8</w:t>
            </w:r>
          </w:p>
        </w:tc>
        <w:tc>
          <w:tcPr>
            <w:tcW w:type="dxa" w:w="3120"/>
          </w:tcPr>
          <w:p>
            <w:pPr>
              <w:jc w:val="left"/>
            </w:pPr>
            <w:r>
              <w:rPr>
                <w:rFonts w:ascii="Times New Roman" w:hAnsi="Times New Roman" w:cs="Times New Roman"/>
                <w:b w:val="0"/>
                <w:sz w:val="21"/>
                <w:u w:val="none"/>
              </w:rPr>
              <w:t>Direct match - fabricated citation rejected; now enforced in code too.</w:t>
            </w:r>
          </w:p>
        </w:tc>
      </w:tr>
      <w:tr>
        <w:tc>
          <w:tcPr>
            <w:tcW w:type="dxa" w:w="3120"/>
          </w:tcPr>
          <w:p>
            <w:pPr>
              <w:jc w:val="left"/>
            </w:pPr>
            <w:r>
              <w:rPr>
                <w:rFonts w:ascii="Times New Roman" w:hAnsi="Times New Roman" w:cs="Times New Roman"/>
                <w:b w:val="0"/>
                <w:sz w:val="21"/>
                <w:u w:val="none"/>
              </w:rPr>
              <w:t>failure_malformed_source_code</w:t>
            </w:r>
          </w:p>
        </w:tc>
        <w:tc>
          <w:tcPr>
            <w:tcW w:type="dxa" w:w="3120"/>
          </w:tcPr>
          <w:p>
            <w:pPr>
              <w:jc w:val="left"/>
            </w:pPr>
            <w:r>
              <w:rPr>
                <w:rFonts w:ascii="Times New Roman" w:hAnsi="Times New Roman" w:cs="Times New Roman"/>
                <w:b w:val="0"/>
                <w:sz w:val="21"/>
                <w:u w:val="none"/>
              </w:rPr>
              <w:t>None needed</w:t>
            </w:r>
          </w:p>
        </w:tc>
        <w:tc>
          <w:tcPr>
            <w:tcW w:type="dxa" w:w="3120"/>
          </w:tcPr>
          <w:p>
            <w:pPr>
              <w:jc w:val="left"/>
            </w:pPr>
            <w:r>
              <w:rPr>
                <w:rFonts w:ascii="Times New Roman" w:hAnsi="Times New Roman" w:cs="Times New Roman"/>
                <w:b w:val="0"/>
                <w:sz w:val="21"/>
                <w:u w:val="none"/>
              </w:rPr>
              <w:t>Resolved - already covered by the prompt's own failure-behaviour rule.</w:t>
            </w:r>
          </w:p>
        </w:tc>
      </w:tr>
      <w:tr>
        <w:tc>
          <w:tcPr>
            <w:tcW w:type="dxa" w:w="3120"/>
          </w:tcPr>
          <w:p>
            <w:pPr>
              <w:jc w:val="left"/>
            </w:pPr>
            <w:r>
              <w:rPr>
                <w:rFonts w:ascii="Times New Roman" w:hAnsi="Times New Roman" w:cs="Times New Roman"/>
                <w:b w:val="0"/>
                <w:sz w:val="21"/>
                <w:u w:val="none"/>
              </w:rPr>
              <w:t>boundary_single_action_multiple_candidates</w:t>
            </w:r>
          </w:p>
        </w:tc>
        <w:tc>
          <w:tcPr>
            <w:tcW w:type="dxa" w:w="3120"/>
          </w:tcPr>
          <w:p>
            <w:pPr>
              <w:jc w:val="left"/>
            </w:pPr>
            <w:r>
              <w:rPr>
                <w:rFonts w:ascii="Times New Roman" w:hAnsi="Times New Roman" w:cs="Times New Roman"/>
                <w:b w:val="0"/>
                <w:sz w:val="21"/>
                <w:u w:val="none"/>
              </w:rPr>
              <w:t>US-9 (indirect)</w:t>
            </w:r>
          </w:p>
        </w:tc>
        <w:tc>
          <w:tcPr>
            <w:tcW w:type="dxa" w:w="3120"/>
          </w:tcPr>
          <w:p>
            <w:pPr>
              <w:jc w:val="left"/>
            </w:pPr>
            <w:r>
              <w:rPr>
                <w:rFonts w:ascii="Times New Roman" w:hAnsi="Times New Roman" w:cs="Times New Roman"/>
                <w:b w:val="0"/>
                <w:sz w:val="21"/>
                <w:u w:val="none"/>
              </w:rPr>
              <w:t>Still open - architecture principle, not the written AC.</w:t>
            </w:r>
          </w:p>
        </w:tc>
      </w:tr>
      <w:tr>
        <w:tc>
          <w:tcPr>
            <w:tcW w:type="dxa" w:w="3120"/>
          </w:tcPr>
          <w:p>
            <w:pPr>
              <w:jc w:val="left"/>
            </w:pPr>
            <w:r>
              <w:rPr>
                <w:rFonts w:ascii="Times New Roman" w:hAnsi="Times New Roman" w:cs="Times New Roman"/>
                <w:b w:val="0"/>
                <w:sz w:val="21"/>
                <w:u w:val="none"/>
              </w:rPr>
              <w:t>security_system_prompt_exfiltration_attempt</w:t>
            </w:r>
          </w:p>
        </w:tc>
        <w:tc>
          <w:tcPr>
            <w:tcW w:type="dxa" w:w="3120"/>
          </w:tcPr>
          <w:p>
            <w:pPr>
              <w:jc w:val="left"/>
            </w:pPr>
            <w:r>
              <w:rPr>
                <w:rFonts w:ascii="Times New Roman" w:hAnsi="Times New Roman" w:cs="Times New Roman"/>
                <w:b w:val="0"/>
                <w:sz w:val="21"/>
                <w:u w:val="none"/>
              </w:rPr>
              <w:t>US-11</w:t>
            </w:r>
          </w:p>
        </w:tc>
        <w:tc>
          <w:tcPr>
            <w:tcW w:type="dxa" w:w="3120"/>
          </w:tcPr>
          <w:p>
            <w:pPr>
              <w:jc w:val="left"/>
            </w:pPr>
            <w:r>
              <w:rPr>
                <w:rFonts w:ascii="Times New Roman" w:hAnsi="Times New Roman" w:cs="Times New Roman"/>
                <w:b w:val="0"/>
                <w:sz w:val="21"/>
                <w:u w:val="none"/>
              </w:rPr>
              <w:t>Resolved - US-11's AC amended to name this case explicitly.</w:t>
            </w:r>
          </w:p>
        </w:tc>
      </w:tr>
    </w:tbl>
    <w:p>
      <w:pPr>
        <w:spacing w:before="240" w:after="80"/>
        <w:jc w:val="both"/>
      </w:pPr>
      <w:r>
        <w:rPr>
          <w:rFonts w:ascii="Times New Roman" w:hAnsi="Times New Roman" w:cs="Times New Roman"/>
          <w:b/>
          <w:sz w:val="24"/>
          <w:u w:val="none"/>
        </w:rPr>
        <w:t>3.2 Two cases that did not match any story, resolved differently</w:t>
      </w:r>
    </w:p>
    <w:p>
      <w:pPr>
        <w:jc w:val="both"/>
      </w:pPr>
      <w:r>
        <w:rPr>
          <w:rFonts w:ascii="Times New Roman" w:hAnsi="Times New Roman" w:cs="Times New Roman"/>
          <w:b w:val="0"/>
          <w:sz w:val="24"/>
          <w:u w:val="none"/>
        </w:rPr>
        <w:t>security_system_prompt_exfiltration_attempt checks that the agent refuses to reveal its own system prompt or tool list, even under direct or persistent pressure. This is the same risk family as US-11 (and the same highest-rated Week 1 risk, R1), but US-11's acceptance criteria named only merge, deploy, and unapproved-command requests. Rather than introduce a new story, US-11's acceptance criteria were widened by one sentence (see Section 6), so this case now has a defined home instead of an approximate one.</w:t>
      </w:r>
    </w:p>
    <w:p>
      <w:pPr>
        <w:jc w:val="both"/>
      </w:pPr>
      <w:r>
        <w:rPr>
          <w:rFonts w:ascii="Times New Roman" w:hAnsi="Times New Roman" w:cs="Times New Roman"/>
          <w:b w:val="0"/>
          <w:sz w:val="24"/>
          <w:u w:val="none"/>
        </w:rPr>
        <w:t>failure_malformed_source_code checks that the agent still returns schema-valid JSON when given a source file with a syntax error. This was assessed as requiring no document change: it is a tool-robustness guarantee rather than a user-facing promise, and it is already covered by propose_action v1.1's own FAILURE BEHAVIOR clause (“if you cannot determine a grounded next action, return no_action”). Introducing a thirteenth user story for this would misclassify a tool-contract requirement as a user story.</w:t>
      </w:r>
    </w:p>
    <w:p>
      <w:pPr>
        <w:spacing w:before="240" w:after="80"/>
        <w:jc w:val="both"/>
      </w:pPr>
      <w:r>
        <w:rPr>
          <w:rFonts w:ascii="Times New Roman" w:hAnsi="Times New Roman" w:cs="Times New Roman"/>
          <w:b/>
          <w:sz w:val="24"/>
          <w:u w:val="none"/>
        </w:rPr>
        <w:t>3.3 Outstanding item</w:t>
      </w:r>
    </w:p>
    <w:p>
      <w:pPr>
        <w:jc w:val="both"/>
      </w:pPr>
      <w:r>
        <w:rPr>
          <w:rFonts w:ascii="Times New Roman" w:hAnsi="Times New Roman" w:cs="Times New Roman"/>
          <w:b w:val="0"/>
          <w:sz w:val="24"/>
          <w:u w:val="none"/>
        </w:rPr>
        <w:t>One item remains outstanding: whether edge_stub_implementation is intended to cover US-2 as well as US-1, since the propose_action schema has no separate action for flagging a coverage gap - a stub function can only be surfaced by proposing a test that targets it. It has been treated as covering both stories in the mapping above; this requires direct confirmation from Member 4 rather than being assumed.</w:t>
      </w:r>
    </w:p>
    <w:p>
      <w:pPr>
        <w:spacing w:before="360" w:after="160"/>
        <w:jc w:val="both"/>
        <w:pBdr>
          <w:bottom w:val="single" w:sz="6" w:space="4" w:color="2E5395"/>
        </w:pBdr>
      </w:pPr>
      <w:r>
        <w:rPr>
          <w:rFonts w:ascii="Times New Roman" w:hAnsi="Times New Roman" w:cs="Times New Roman"/>
          <w:b/>
          <w:sz w:val="24"/>
          <w:u w:val="none"/>
        </w:rPr>
        <w:t>4. Domain Model Code (src/models/types.py)</w:t>
      </w:r>
    </w:p>
    <w:p>
      <w:pPr>
        <w:jc w:val="both"/>
      </w:pPr>
      <w:r>
        <w:rPr>
          <w:rFonts w:ascii="Times New Roman" w:hAnsi="Times New Roman" w:cs="Times New Roman"/>
          <w:b w:val="0"/>
          <w:sz w:val="24"/>
          <w:u w:val="none"/>
        </w:rPr>
        <w:t>The second deliverable defines the basic data types referred to by the twelve user stories - Requirement, TestProposal, CoverageGap, and the supporting vocabulary for stories not yet exercised this week (ApprovalDecision, SandboxExecutionResult, FailureSummary, IssueDraft, TraceEntry, and others). Two of these types are wired directly into code already present in the repository, rather than being purely descriptive:</w:t>
      </w:r>
    </w:p>
    <w:p>
      <w:pPr>
        <w:pStyle w:val="ListBullet"/>
        <w:jc w:val="both"/>
      </w:pPr>
      <w:r>
        <w:rPr>
          <w:rFonts w:ascii="Times New Roman" w:hAnsi="Times New Roman" w:cs="Times New Roman"/>
          <w:b w:val="0"/>
          <w:sz w:val="24"/>
          <w:u w:val="none"/>
        </w:rPr>
        <w:t>ProposalSet.model_validate_json is the exact hook Member 2's src/rag/pipeline.py already names in its own docstring for the response parser. It parses and schema-validates a raw model response into a typed object.</w:t>
      </w:r>
    </w:p>
    <w:p>
      <w:pPr>
        <w:pStyle w:val="ListBullet"/>
        <w:jc w:val="both"/>
      </w:pPr>
      <w:r>
        <w:rPr>
          <w:rFonts w:ascii="Times New Roman" w:hAnsi="Times New Roman" w:cs="Times New Roman"/>
          <w:b w:val="0"/>
          <w:sz w:val="24"/>
          <w:u w:val="none"/>
        </w:rPr>
        <w:t>TestProposal.validate_sources is a working implementation of US-8's negative case - it rejects a proposal with no traceable evidence, or one that cites a source_path that was never actually supplied, instead of merely describing that rule in a document.</w:t>
      </w:r>
    </w:p>
    <w:p>
      <w:pPr>
        <w:spacing w:before="360" w:after="160"/>
        <w:jc w:val="both"/>
        <w:pBdr>
          <w:bottom w:val="single" w:sz="6" w:space="4" w:color="2E5395"/>
        </w:pBdr>
      </w:pPr>
      <w:r>
        <w:rPr>
          <w:rFonts w:ascii="Times New Roman" w:hAnsi="Times New Roman" w:cs="Times New Roman"/>
          <w:b/>
          <w:sz w:val="24"/>
          <w:u w:val="none"/>
        </w:rPr>
        <w:t>5. Verification</w:t>
      </w:r>
    </w:p>
    <w:p>
      <w:pPr>
        <w:jc w:val="both"/>
      </w:pPr>
      <w:r>
        <w:rPr>
          <w:rFonts w:ascii="Times New Roman" w:hAnsi="Times New Roman" w:cs="Times New Roman"/>
          <w:b w:val="0"/>
          <w:sz w:val="24"/>
          <w:u w:val="none"/>
        </w:rPr>
        <w:t>A verification script, scripts/member1_types_smoke.py, was written to match the naming convention of Member 2's scripts/member2_model_smoke.py. All ten of Member 4's real cases from tests/fixtures/prompt_eval_cases.json were run through the domain model using this script. All ten parsed through ProposalSet.model_validate_json without error. Of the cases where the action returned was propose_test, validate_sources correctly accepted every proposal with a legitimate citation and correctly rejected the one case constructed specifically to test that: adversarial_fabricated_citation_temptation, which cites pricing/discount_table.md, a file never actually supplied that turn.</w:t>
      </w:r>
    </w:p>
    <w:p>
      <w:pPr>
        <w:ind w:left="432"/>
      </w:pPr>
      <w:r>
        <w:rPr>
          <w:rFonts w:ascii="Consolas" w:hAnsi="Consolas"/>
          <w:sz w:val="21"/>
        </w:rPr>
        <w:t>PS&gt; python scripts\member1_types_smoke.py</w:t>
      </w:r>
    </w:p>
    <w:p>
      <w:pPr>
        <w:jc w:val="both"/>
      </w:pPr>
      <w:r>
        <w:rPr>
          <w:rFonts w:ascii="Times New Roman" w:hAnsi="Times New Roman" w:cs="Times New Roman"/>
          <w:b w:val="0"/>
          <w:sz w:val="24"/>
          <w:u w:val="none"/>
        </w:rPr>
        <w:t>The run produced ten lines, one per case, plus a summary confirming that all ten cases parsed cleanly and that exactly one proposal was rejected by validate_sources - consistent with the one case Member 4's own evaluation table also marks as an intentional failure.</w:t>
      </w:r>
    </w:p>
    <w:p>
      <w:pPr>
        <w:spacing w:before="360" w:after="160"/>
        <w:jc w:val="both"/>
        <w:pBdr>
          <w:bottom w:val="single" w:sz="6" w:space="4" w:color="2E5395"/>
        </w:pBdr>
      </w:pPr>
      <w:r>
        <w:rPr>
          <w:rFonts w:ascii="Times New Roman" w:hAnsi="Times New Roman" w:cs="Times New Roman"/>
          <w:b/>
          <w:sz w:val="24"/>
          <w:u w:val="none"/>
        </w:rPr>
        <w:t>6. User Story Update (US-11)</w:t>
      </w:r>
    </w:p>
    <w:p>
      <w:pPr>
        <w:jc w:val="both"/>
      </w:pPr>
      <w:r>
        <w:rPr>
          <w:rFonts w:ascii="Times New Roman" w:hAnsi="Times New Roman" w:cs="Times New Roman"/>
          <w:b w:val="0"/>
          <w:sz w:val="24"/>
          <w:u w:val="none"/>
        </w:rPr>
        <w:t>Based on the finding in Section 3.2, US-11's acceptance criteria in docs/requirements/Project_charter and user stories.docx were amended. The addition, appended after the existing text, reads:</w:t>
      </w:r>
    </w:p>
    <w:p>
      <w:pPr>
        <w:ind w:left="576"/>
      </w:pPr>
      <w:r>
        <w:rPr>
          <w:rFonts w:ascii="Times New Roman" w:hAnsi="Times New Roman" w:cs="Times New Roman"/>
          <w:b w:val="0"/>
          <w:i/>
          <w:sz w:val="24"/>
          <w:u w:val="none"/>
        </w:rPr>
        <w:t>“The same refusal applies to a request to reveal, summarise, or reproduce the agent's own system prompt, instructions, or tool configuration, regardless of how directly or persistently it is asked.”</w:t>
      </w:r>
    </w:p>
    <w:p>
      <w:pPr>
        <w:jc w:val="both"/>
      </w:pPr>
      <w:r>
        <w:rPr>
          <w:rFonts w:ascii="Times New Roman" w:hAnsi="Times New Roman" w:cs="Times New Roman"/>
          <w:b w:val="0"/>
          <w:sz w:val="24"/>
          <w:u w:val="none"/>
        </w:rPr>
        <w:t>No code change was required for this - BoundaryViolationAttempt and InjectionSource in the domain model were already general enough to cover it.</w:t>
      </w:r>
    </w:p>
    <w:p>
      <w:pPr>
        <w:spacing w:before="360" w:after="160"/>
        <w:jc w:val="both"/>
        <w:pBdr>
          <w:bottom w:val="single" w:sz="6" w:space="4" w:color="2E5395"/>
        </w:pBdr>
      </w:pPr>
      <w:r>
        <w:rPr>
          <w:rFonts w:ascii="Times New Roman" w:hAnsi="Times New Roman" w:cs="Times New Roman"/>
          <w:b/>
          <w:sz w:val="24"/>
          <w:u w:val="none"/>
        </w:rPr>
        <w:t>7. Conclusion and Next Steps</w:t>
      </w:r>
    </w:p>
    <w:p>
      <w:pPr>
        <w:jc w:val="both"/>
      </w:pPr>
      <w:r>
        <w:rPr>
          <w:rFonts w:ascii="Times New Roman" w:hAnsi="Times New Roman" w:cs="Times New Roman"/>
          <w:b w:val="0"/>
          <w:sz w:val="24"/>
          <w:u w:val="none"/>
        </w:rPr>
        <w:t>Both Week 2 deliverables are complete and verified. The traceability notes trace all ten of Member 4's cases to either a user story or an explicit, documented reason a story is not required, and the domain model code has been proven against real evaluation data rather than assumed behaviour. One item remains outstanding - confirmation from Member 4 on whether edge_stub_implementation is intended to cover US-2 - and six user stories (US-3, US-4, US-5, US-6, US-9, US-10) correctly remain untested until run_tests and draft_issue are implemented in Week 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