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ЛАБОРАТОРНА РОБОТА №6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НАЙПРОСТІШОЇ СМО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20"/>
        <w:rPr>
          <w:sz w:val="28"/>
          <w:szCs w:val="28"/>
        </w:rPr>
      </w:pPr>
      <w:r>
        <w:rPr>
          <w:sz w:val="28"/>
          <w:szCs w:val="28"/>
        </w:rPr>
        <w:t>Мета роботи:</w:t>
      </w:r>
    </w:p>
    <w:p>
      <w:pPr>
        <w:pStyle w:val="Style2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Знайомство   з   методикою аналітичного дослідження характеристик найпростішої СМО.</w:t>
      </w:r>
    </w:p>
    <w:p>
      <w:pPr>
        <w:pStyle w:val="Style20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Експериментальне визначення характеристик найпростішої СМО шляхом моделювання.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709" w:right="0" w:hang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6.1 </w:t>
      </w:r>
      <w:r>
        <w:rPr>
          <w:b/>
          <w:sz w:val="28"/>
          <w:szCs w:val="28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Таблиця 6.1 - Результати експериментів по оцінці ймовірностей появи черг різної довжини</w:t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nil"/>
          <w:insideH w:val="nil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73"/>
        <w:gridCol w:w="1443"/>
        <w:gridCol w:w="1"/>
        <w:gridCol w:w="794"/>
        <w:gridCol w:w="1"/>
        <w:gridCol w:w="794"/>
        <w:gridCol w:w="1"/>
        <w:gridCol w:w="794"/>
        <w:gridCol w:w="1"/>
        <w:gridCol w:w="794"/>
        <w:gridCol w:w="1"/>
        <w:gridCol w:w="794"/>
        <w:gridCol w:w="1"/>
        <w:gridCol w:w="794"/>
        <w:gridCol w:w="1"/>
        <w:gridCol w:w="811"/>
      </w:tblGrid>
      <w:tr>
        <w:trPr>
          <w:cantSplit w:val="false"/>
        </w:trPr>
        <w:tc>
          <w:tcPr>
            <w:tcW w:w="9898" w:type="dxa"/>
            <w:gridSpan w:val="16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 xml:space="preserve">Коефіцієнт завантаження </w:t>
            </w:r>
            <w:r>
              <w:rPr>
                <w:rFonts w:ascii="Symbol" w:hAnsi="Symbol"/>
              </w:rPr>
              <w:t></w:t>
            </w:r>
            <w:r>
              <w:rPr/>
              <w:t>=0,8</w:t>
            </w:r>
          </w:p>
        </w:tc>
      </w:tr>
      <w:tr>
        <w:trPr>
          <w:cantSplit w:val="false"/>
        </w:trPr>
        <w:tc>
          <w:tcPr>
            <w:tcW w:w="9898" w:type="dxa"/>
            <w:gridSpan w:val="16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Час моделювання 20000</w:t>
            </w:r>
          </w:p>
        </w:tc>
      </w:tr>
      <w:tr>
        <w:trPr>
          <w:cantSplit w:val="false"/>
        </w:trPr>
        <w:tc>
          <w:tcPr>
            <w:tcW w:w="9898" w:type="dxa"/>
            <w:gridSpan w:val="16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>
                <w:lang w:val="en-US"/>
              </w:rPr>
            </w:pPr>
            <w:r>
              <w:rPr/>
              <w:t xml:space="preserve">Інтенсивність вхідного потоку </w:t>
            </w:r>
            <w:r>
              <w:rPr>
                <w:rFonts w:ascii="Symbol" w:hAnsi="Symbol"/>
              </w:rPr>
              <w:t></w:t>
            </w:r>
            <w:r>
              <w:rPr/>
              <w:t>=1/</w:t>
            </w:r>
            <w:r>
              <w:rPr>
                <w:lang w:val="en-US"/>
              </w:rPr>
              <w:t>m =0.5</w:t>
            </w:r>
          </w:p>
        </w:tc>
      </w:tr>
      <w:tr>
        <w:trPr>
          <w:cantSplit w:val="false"/>
        </w:trPr>
        <w:tc>
          <w:tcPr>
            <w:tcW w:w="9898" w:type="dxa"/>
            <w:gridSpan w:val="16"/>
            <w:tcBorders>
              <w:top w:val="nil"/>
              <w:left w:val="single" w:sz="4" w:space="0" w:color="000001"/>
              <w:bottom w:val="single" w:sz="12" w:space="0" w:color="000001"/>
              <w:insideH w:val="single" w:sz="12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>
                <w:lang w:val="en-US"/>
              </w:rPr>
            </w:pPr>
            <w:r>
              <w:rPr/>
              <w:t xml:space="preserve">Інтенсивність обслуговування </w:t>
            </w:r>
            <w:r>
              <w:rPr>
                <w:rFonts w:ascii="Symbol" w:hAnsi="Symbol"/>
              </w:rPr>
              <w:t></w:t>
            </w:r>
            <w:r>
              <w:rPr/>
              <w:t xml:space="preserve"> =</w:t>
            </w:r>
            <w:r>
              <w:rPr>
                <w:lang w:val="en-US"/>
              </w:rPr>
              <w:t>1/m</w:t>
            </w:r>
            <w:r>
              <w:rPr/>
              <w:t xml:space="preserve"> </w:t>
            </w:r>
            <w:r>
              <w:rPr>
                <w:lang w:val="en-US"/>
              </w:rPr>
              <w:t>= 0.625</w:t>
            </w:r>
          </w:p>
        </w:tc>
      </w:tr>
      <w:tr>
        <w:trPr>
          <w:cantSplit w:val="false"/>
        </w:trPr>
        <w:tc>
          <w:tcPr>
            <w:tcW w:w="4317" w:type="dxa"/>
            <w:gridSpan w:val="3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Довжина черги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2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4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5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4317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Style23"/>
              <w:rPr/>
            </w:pPr>
            <w:r>
              <w:rPr/>
              <w:t>Теор. значення ймовірності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.36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.128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.1024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.0819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.0655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.0524</w:t>
            </w:r>
          </w:p>
        </w:tc>
        <w:tc>
          <w:tcPr>
            <w:tcW w:w="81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single" w:sz="18" w:space="0" w:color="000001"/>
              <w:insideV w:val="single" w:sz="1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.0419</w:t>
            </w:r>
          </w:p>
        </w:tc>
      </w:tr>
      <w:tr>
        <w:trPr>
          <w:cantSplit w:val="true"/>
        </w:trPr>
        <w:tc>
          <w:tcPr>
            <w:tcW w:w="2873" w:type="dxa"/>
            <w:vMerge w:val="restart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Експериментальні значення відносної частоти</w:t>
            </w:r>
          </w:p>
        </w:tc>
        <w:tc>
          <w:tcPr>
            <w:tcW w:w="144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Дослід№1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.3287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.1174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.0974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.0773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.0622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.0525</w:t>
            </w:r>
          </w:p>
        </w:tc>
        <w:tc>
          <w:tcPr>
            <w:tcW w:w="812" w:type="dxa"/>
            <w:gridSpan w:val="2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.0413</w:t>
            </w:r>
          </w:p>
        </w:tc>
      </w:tr>
      <w:tr>
        <w:trPr>
          <w:cantSplit w:val="true"/>
        </w:trPr>
        <w:tc>
          <w:tcPr>
            <w:tcW w:w="2873" w:type="dxa"/>
            <w:vMerge w:val="continue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Дослід№2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.3277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.1169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.0875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.0751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.0645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.0501</w:t>
            </w:r>
          </w:p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.0462</w:t>
            </w:r>
          </w:p>
        </w:tc>
      </w:tr>
      <w:tr>
        <w:trPr>
          <w:cantSplit w:val="true"/>
        </w:trPr>
        <w:tc>
          <w:tcPr>
            <w:tcW w:w="2873" w:type="dxa"/>
            <w:vMerge w:val="continue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Дослід№3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.3396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.1221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.0980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.0796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.0652</w:t>
            </w:r>
          </w:p>
        </w:tc>
        <w:tc>
          <w:tcPr>
            <w:tcW w:w="795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.0505</w:t>
            </w:r>
          </w:p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.0489</w:t>
            </w:r>
          </w:p>
        </w:tc>
      </w:tr>
      <w:tr>
        <w:trPr>
          <w:cantSplit w:val="true"/>
        </w:trPr>
        <w:tc>
          <w:tcPr>
            <w:tcW w:w="2873" w:type="dxa"/>
            <w:vMerge w:val="continue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Середнє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.332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.1188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.0943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.0773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.0639</w:t>
            </w:r>
          </w:p>
        </w:tc>
        <w:tc>
          <w:tcPr>
            <w:tcW w:w="795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.051</w:t>
            </w:r>
          </w:p>
        </w:tc>
        <w:tc>
          <w:tcPr>
            <w:tcW w:w="81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  <w:right w:val="single" w:sz="18" w:space="0" w:color="000001"/>
              <w:insideV w:val="single" w:sz="1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Style23"/>
              <w:rPr/>
            </w:pPr>
            <w:r>
              <w:rPr/>
              <w:t>.0456</w:t>
            </w:r>
          </w:p>
        </w:tc>
      </w:tr>
    </w:tbl>
    <w:p>
      <w:pPr>
        <w:pStyle w:val="Style20"/>
        <w:ind w:left="1134" w:right="0" w:hanging="3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ind w:left="1134" w:right="0" w:hanging="340"/>
        <w:jc w:val="both"/>
        <w:rPr/>
      </w:pPr>
      <w:r>
        <w:rPr/>
        <w:drawing>
          <wp:inline distT="0" distB="0" distL="0" distR="0">
            <wp:extent cx="5486400" cy="320040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Style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6.1 – Діаграма довжин черг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Таблиця 6.2 - Результати експериментів по оцінці середнього часу очікування в черзі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69"/>
        <w:gridCol w:w="1590"/>
        <w:gridCol w:w="794"/>
        <w:gridCol w:w="794"/>
        <w:gridCol w:w="734"/>
        <w:gridCol w:w="855"/>
        <w:gridCol w:w="794"/>
        <w:gridCol w:w="732"/>
      </w:tblGrid>
      <w:tr>
        <w:trPr>
          <w:cantSplit w:val="false"/>
        </w:trPr>
        <w:tc>
          <w:tcPr>
            <w:tcW w:w="98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Час моделювання 20000</w:t>
            </w:r>
          </w:p>
        </w:tc>
      </w:tr>
      <w:tr>
        <w:trPr>
          <w:cantSplit w:val="false"/>
        </w:trPr>
        <w:tc>
          <w:tcPr>
            <w:tcW w:w="98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>
                <w:lang w:val="en-US"/>
              </w:rPr>
            </w:pPr>
            <w:r>
              <w:rPr/>
              <w:t xml:space="preserve">Інтенсивність вхідного потоку </w:t>
            </w:r>
            <w:r>
              <w:rPr>
                <w:rFonts w:ascii="Symbol" w:hAnsi="Symbol"/>
              </w:rPr>
              <w:t></w:t>
            </w:r>
            <w:r>
              <w:rPr/>
              <w:t>=1/</w:t>
            </w:r>
            <w:r>
              <w:rPr>
                <w:lang w:val="en-US"/>
              </w:rPr>
              <w:t>m=0.5</w:t>
            </w:r>
          </w:p>
        </w:tc>
      </w:tr>
      <w:tr>
        <w:trPr>
          <w:cantSplit w:val="false"/>
        </w:trPr>
        <w:tc>
          <w:tcPr>
            <w:tcW w:w="51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Коефіцієнт завантаження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0.3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0.5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0.6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0.7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0.8</w:t>
            </w:r>
          </w:p>
        </w:tc>
      </w:tr>
      <w:tr>
        <w:trPr>
          <w:cantSplit w:val="false"/>
        </w:trPr>
        <w:tc>
          <w:tcPr>
            <w:tcW w:w="51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Теоретичне значення часу очікування в черзі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.257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.533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1.8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3.267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6.4</w:t>
            </w:r>
          </w:p>
        </w:tc>
      </w:tr>
      <w:tr>
        <w:trPr>
          <w:cantSplit w:val="true"/>
        </w:trPr>
        <w:tc>
          <w:tcPr>
            <w:tcW w:w="35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Експериментальні значення середнього часу очікування в черзі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Дослід№1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.258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.531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.895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1.832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3.27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6.71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Дослід№2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.260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.544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1.02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1.945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3.34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 xml:space="preserve"> </w:t>
            </w:r>
            <w:r>
              <w:rPr/>
              <w:t>6.04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Дослід№3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 xml:space="preserve"> </w:t>
            </w:r>
            <w:r>
              <w:rPr/>
              <w:t>.243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.514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.963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1.786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3.34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6.61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Середнє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.253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.530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.959</w:t>
            </w:r>
          </w:p>
        </w:tc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1.854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3.32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6.45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91125" cy="2990215"/>
            <wp:effectExtent l="0" t="0" r="0" b="0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6.2 – Графік залежності середнього часу очікування в черзі від коефіцієнта завантаження</w:t>
      </w:r>
    </w:p>
    <w:p>
      <w:pPr>
        <w:pStyle w:val="Style21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Таблиця 6.3 - </w:t>
      </w:r>
      <w:r>
        <w:rPr>
          <w:color w:val="000000"/>
          <w:sz w:val="28"/>
          <w:szCs w:val="28"/>
        </w:rPr>
        <w:t>Результати експериментів по оцінці середньої довжини черги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69"/>
        <w:gridCol w:w="1590"/>
        <w:gridCol w:w="734"/>
        <w:gridCol w:w="734"/>
        <w:gridCol w:w="734"/>
        <w:gridCol w:w="794"/>
        <w:gridCol w:w="854"/>
        <w:gridCol w:w="853"/>
      </w:tblGrid>
      <w:tr>
        <w:trPr>
          <w:cantSplit w:val="false"/>
        </w:trPr>
        <w:tc>
          <w:tcPr>
            <w:tcW w:w="98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Час моделювання 20000</w:t>
            </w:r>
          </w:p>
        </w:tc>
      </w:tr>
      <w:tr>
        <w:trPr>
          <w:cantSplit w:val="false"/>
        </w:trPr>
        <w:tc>
          <w:tcPr>
            <w:tcW w:w="9862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>
                <w:lang w:val="en-US"/>
              </w:rPr>
            </w:pPr>
            <w:r>
              <w:rPr/>
              <w:t xml:space="preserve">Інтенсивність вхідного потоку </w:t>
            </w:r>
            <w:r>
              <w:rPr>
                <w:rFonts w:ascii="Symbol" w:hAnsi="Symbol"/>
              </w:rPr>
              <w:t></w:t>
            </w:r>
            <w:r>
              <w:rPr/>
              <w:t>=1</w:t>
            </w:r>
            <w:r>
              <w:rPr>
                <w:lang w:val="en-US"/>
              </w:rPr>
              <w:t>/m=0.5</w:t>
            </w:r>
          </w:p>
        </w:tc>
      </w:tr>
      <w:tr>
        <w:trPr>
          <w:cantSplit w:val="false"/>
        </w:trPr>
        <w:tc>
          <w:tcPr>
            <w:tcW w:w="51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Коефіцієнт завантаження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0,3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0,4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0,5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0.6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0.7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0.8</w:t>
            </w:r>
          </w:p>
        </w:tc>
      </w:tr>
      <w:tr>
        <w:trPr>
          <w:cantSplit w:val="false"/>
        </w:trPr>
        <w:tc>
          <w:tcPr>
            <w:tcW w:w="51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Теоретичне значення середньої довжини черги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.128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.267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0.9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1.63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3.2</w:t>
            </w:r>
          </w:p>
        </w:tc>
      </w:tr>
      <w:tr>
        <w:trPr>
          <w:cantSplit w:val="true"/>
        </w:trPr>
        <w:tc>
          <w:tcPr>
            <w:tcW w:w="35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</w:r>
          </w:p>
          <w:p>
            <w:pPr>
              <w:pStyle w:val="Style23"/>
              <w:rPr/>
            </w:pPr>
            <w:r>
              <w:rPr/>
              <w:t>Експериментальні значення середньої довжини черги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Дослід№1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.129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.265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.481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.882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1.493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3.01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Дослід№2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.129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.267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.507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.906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1.47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3.25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Дослід№3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.145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.259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.492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.911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1.689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3.32</w:t>
            </w:r>
          </w:p>
        </w:tc>
      </w:tr>
      <w:tr>
        <w:trPr>
          <w:cantSplit w:val="true"/>
        </w:trPr>
        <w:tc>
          <w:tcPr>
            <w:tcW w:w="35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Середнє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.134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.264</w:t>
            </w:r>
          </w:p>
        </w:tc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.493</w:t>
            </w:r>
          </w:p>
        </w:tc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.899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1.596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insideH w:val="single" w:sz="18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Style23"/>
              <w:rPr/>
            </w:pPr>
            <w:r>
              <w:rPr/>
              <w:t>3.19</w:t>
            </w:r>
          </w:p>
        </w:tc>
      </w:tr>
    </w:tbl>
    <w:p>
      <w:pPr>
        <w:pStyle w:val="Style20"/>
        <w:tabs>
          <w:tab w:val="left" w:pos="1072" w:leader="none"/>
        </w:tabs>
        <w:ind w:left="0" w:right="0" w:firstLine="794"/>
        <w:jc w:val="both"/>
        <w:rPr/>
      </w:pPr>
      <w:r>
        <w:rPr/>
        <w:drawing>
          <wp:inline distT="0" distB="0" distL="0" distR="0">
            <wp:extent cx="5248275" cy="2943225"/>
            <wp:effectExtent l="0" t="0" r="0" b="0"/>
            <wp:docPr id="3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6.3 – Графік залежності середньої довжини черги від коефіцієнта завантаження</w:t>
      </w:r>
    </w:p>
    <w:p>
      <w:pPr>
        <w:pStyle w:val="Style20"/>
        <w:tabs>
          <w:tab w:val="left" w:pos="1072" w:leader="none"/>
        </w:tabs>
        <w:ind w:left="0" w:right="0" w:firstLine="79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результатами дослідів можна стверджувати, що данну модель можна використовувати для моделювання СМО, оскільки, як можна бачити з графіків та діаграм, теоретичні значення середньої довжини черги, середнього часу очікування в черзі, а також ймовірності отримати чергу заданої довжини з достатньо великою точністю співпадають з експериментальними.</w:t>
      </w:r>
    </w:p>
    <w:p>
      <w:pPr>
        <w:pStyle w:val="Style20"/>
        <w:tabs>
          <w:tab w:val="left" w:pos="1072" w:leader="none"/>
        </w:tabs>
        <w:ind w:left="0" w:right="0" w:firstLine="79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Style20"/>
        <w:tabs>
          <w:tab w:val="left" w:pos="1072" w:leader="none"/>
        </w:tabs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  <w:t>6.2 Результати виконання самостiйного завдання</w:t>
      </w:r>
    </w:p>
    <w:p>
      <w:pPr>
        <w:pStyle w:val="Normal"/>
        <w:tabs>
          <w:tab w:val="left" w:pos="1072" w:leader="none"/>
        </w:tabs>
        <w:jc w:val="both"/>
        <w:rPr>
          <w:rFonts w:ascii="Monospace" w:hAnsi="Monospace"/>
          <w:b/>
          <w:bCs w:val="false"/>
          <w:i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ab/>
      </w:r>
      <w:r>
        <w:rPr>
          <w:rFonts w:ascii="Monospace" w:hAnsi="Monospace"/>
          <w:b/>
          <w:bCs w:val="false"/>
          <w:i/>
          <w:color w:val="000000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initForStatistics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i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i/>
          <w:color w:val="000000"/>
          <w:sz w:val="20"/>
        </w:rPr>
        <w:t>@Override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Map&lt;String, Double&gt; </w:t>
      </w:r>
      <w:r>
        <w:rPr>
          <w:rFonts w:ascii="Monospace" w:hAnsi="Monospace"/>
          <w:b/>
          <w:color w:val="000000"/>
          <w:sz w:val="20"/>
        </w:rPr>
        <w:t>getResultOfExperiment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Map&lt;String, Double&gt; </w:t>
      </w:r>
      <w:r>
        <w:rPr>
          <w:rFonts w:ascii="Monospace" w:hAnsi="Monospace"/>
          <w:b/>
          <w:color w:val="000000"/>
          <w:sz w:val="20"/>
        </w:rPr>
        <w:t>map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HashMap&lt;&gt;();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map.put("Довжинa черги вантаживок до навантаження",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getHistoForQueueForLoading().getAverage());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map.put("Довжина черги грузовикив до розвантаження",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getHistForQueueForTracktor().getAverage());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map.put("Довжина черги сивалок за зерном",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getHistoForQueueForBeans().getAverage());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map.put("Килькисть вантаживок у дорози",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getHistoForQueueTrucksOnRoad().getAverage());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map;</w:t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DiscretHisto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getHistoForQueueForLoading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(histoForQueueForLoading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histoForQueueForLoading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DiscretHisto();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histoForQueueForLoading;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DiscretHisto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getHistForQueueForTracktor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(histForQueueForTracktor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histForQueueForTracktor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DiscretHisto();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histForQueueForTracktor;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DiscretHisto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getHistoForQueueForBeans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(histoForQueueForBeans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histoForQueueForBeans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DiscretHisto();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histoForQueueForBeans;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DiscretHisto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getHistoForQueueTrucksOnRoad</w:t>
      </w:r>
      <w:r>
        <w:rPr>
          <w:rFonts w:ascii="Monospace" w:hAnsi="Monospace"/>
          <w:color w:val="000000"/>
          <w:sz w:val="20"/>
        </w:rPr>
        <w:t>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(histoForQueueTrucksOnRoad == </w:t>
      </w:r>
      <w:r>
        <w:rPr>
          <w:rFonts w:ascii="Monospace" w:hAnsi="Monospace"/>
          <w:b/>
          <w:color w:val="000000"/>
          <w:sz w:val="20"/>
        </w:rPr>
        <w:t>null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histoForQueueTrucksOnRoad = </w:t>
      </w:r>
      <w:r>
        <w:rPr>
          <w:rFonts w:ascii="Monospace" w:hAnsi="Monospace"/>
          <w:b/>
          <w:color w:val="000000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DiscretHisto();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histoForQueueTrucksOnRoad;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Style20"/>
        <w:tabs>
          <w:tab w:val="left" w:pos="1072" w:leader="none"/>
        </w:tabs>
        <w:jc w:val="center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Рисунок 6.4 – Результати роботи додатку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770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9z0" w:customStyle="1">
    <w:name w:val="WW8Num9z0"/>
    <w:rPr>
      <w:rFonts w:ascii="Symbol" w:hAnsi="Symbol" w:cs="Symbol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9z4" w:customStyle="1">
    <w:name w:val="WW8Num9z4"/>
    <w:rPr>
      <w:rFonts w:ascii="Courier New" w:hAnsi="Courier New" w:cs="Courier New"/>
    </w:rPr>
  </w:style>
  <w:style w:type="character" w:styleId="Style14" w:customStyle="1">
    <w:name w:val="Текст выноски Знак"/>
    <w:uiPriority w:val="99"/>
    <w:semiHidden/>
    <w:link w:val="a9"/>
    <w:rsid w:val="000431b4"/>
    <w:basedOn w:val="DefaultParagraphFont"/>
    <w:rPr>
      <w:rFonts w:ascii="Tahoma" w:hAnsi="Tahoma" w:cs="Mangal"/>
      <w:sz w:val="16"/>
      <w:szCs w:val="14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paragraph" w:styleId="Style15" w:customStyle="1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 w:customStyle="1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Указатель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20" w:customStyle="1">
    <w:name w:val="Стиль для списка"/>
    <w:basedOn w:val="Normal"/>
    <w:pPr>
      <w:widowControl/>
      <w:numPr>
        <w:ilvl w:val="0"/>
        <w:numId w:val="2"/>
      </w:numPr>
    </w:pPr>
    <w:rPr/>
  </w:style>
  <w:style w:type="paragraph" w:styleId="Style21" w:customStyle="1">
    <w:name w:val="Стиль Заголовка таблицы"/>
    <w:basedOn w:val="Normal"/>
    <w:next w:val="Normal"/>
    <w:pPr>
      <w:spacing w:before="120" w:after="0"/>
    </w:pPr>
    <w:rPr/>
  </w:style>
  <w:style w:type="paragraph" w:styleId="Style22" w:customStyle="1">
    <w:name w:val="Стиль основного текста"/>
    <w:basedOn w:val="Normal"/>
    <w:pPr/>
    <w:rPr>
      <w:rFonts w:eastAsia="MS Mincho"/>
    </w:rPr>
  </w:style>
  <w:style w:type="paragraph" w:styleId="Style23" w:customStyle="1">
    <w:name w:val="СтильВнутри таблицы по центру"/>
    <w:basedOn w:val="Style22"/>
    <w:pPr>
      <w:jc w:val="center"/>
    </w:pPr>
    <w:rPr>
      <w:szCs w:val="28"/>
    </w:rPr>
  </w:style>
  <w:style w:type="paragraph" w:styleId="Style24" w:customStyle="1">
    <w:name w:val="Содержимое таблицы"/>
    <w:basedOn w:val="Normal"/>
    <w:pPr>
      <w:suppressLineNumbers/>
    </w:pPr>
    <w:rPr/>
  </w:style>
  <w:style w:type="paragraph" w:styleId="Style25" w:customStyle="1">
    <w:name w:val="Заголовок таблицы"/>
    <w:basedOn w:val="Style24"/>
    <w:pPr>
      <w:jc w:val="center"/>
    </w:pPr>
    <w:rPr>
      <w:b/>
      <w:bCs/>
    </w:rPr>
  </w:style>
  <w:style w:type="paragraph" w:styleId="BalloonText">
    <w:name w:val="Balloon Text"/>
    <w:uiPriority w:val="99"/>
    <w:semiHidden/>
    <w:unhideWhenUsed/>
    <w:link w:val="aa"/>
    <w:rsid w:val="000431b4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numbering" w:styleId="WW8Num9" w:customStyle="1">
    <w:name w:val="WW8Num9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Результат експерименту №1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Теоретичні значення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cat>
            <c:strRef>
              <c:f>categories</c:f>
              <c:strCache>
                <c:ptCount val="7"/>
                <c:pt idx="0">
                  <c:v>Довжина черги = 0</c:v>
                </c:pt>
                <c:pt idx="1">
                  <c:v>Довжина черги = 1</c:v>
                </c:pt>
                <c:pt idx="2">
                  <c:v>Довжина черги = 2</c:v>
                </c:pt>
                <c:pt idx="3">
                  <c:v>Довжина черги = 3</c:v>
                </c:pt>
                <c:pt idx="4">
                  <c:v>Довжина черги = 4</c:v>
                </c:pt>
                <c:pt idx="5">
                  <c:v>Довжина черги = 5</c:v>
                </c:pt>
                <c:pt idx="6">
                  <c:v>Довжина черги =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0.36</c:v>
                </c:pt>
                <c:pt idx="1">
                  <c:v>0.128</c:v>
                </c:pt>
                <c:pt idx="2">
                  <c:v>0.1024</c:v>
                </c:pt>
                <c:pt idx="3">
                  <c:v>0.0819</c:v>
                </c:pt>
                <c:pt idx="4">
                  <c:v>0.0655</c:v>
                </c:pt>
                <c:pt idx="5">
                  <c:v>0.0524</c:v>
                </c:pt>
                <c:pt idx="6">
                  <c:v>0.0419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Експериментальні значення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cat>
            <c:strRef>
              <c:f>categories</c:f>
              <c:strCache>
                <c:ptCount val="7"/>
                <c:pt idx="0">
                  <c:v>Довжина черги = 0</c:v>
                </c:pt>
                <c:pt idx="1">
                  <c:v>Довжина черги = 1</c:v>
                </c:pt>
                <c:pt idx="2">
                  <c:v>Довжина черги = 2</c:v>
                </c:pt>
                <c:pt idx="3">
                  <c:v>Довжина черги = 3</c:v>
                </c:pt>
                <c:pt idx="4">
                  <c:v>Довжина черги = 4</c:v>
                </c:pt>
                <c:pt idx="5">
                  <c:v>Довжина черги = 5</c:v>
                </c:pt>
                <c:pt idx="6">
                  <c:v>Довжина черги =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0.3332</c:v>
                </c:pt>
                <c:pt idx="1">
                  <c:v>0.1188</c:v>
                </c:pt>
                <c:pt idx="2">
                  <c:v>0.0943</c:v>
                </c:pt>
                <c:pt idx="3">
                  <c:v>0.0773</c:v>
                </c:pt>
                <c:pt idx="4">
                  <c:v>0.0639</c:v>
                </c:pt>
                <c:pt idx="5">
                  <c:v>0.051</c:v>
                </c:pt>
                <c:pt idx="6">
                  <c:v>0.0456</c:v>
                </c:pt>
              </c:numCache>
            </c:numRef>
          </c:val>
        </c:ser>
        <c:gapWidth val="219"/>
        <c:axId val="93507037"/>
        <c:axId val="20857913"/>
      </c:barChart>
      <c:catAx>
        <c:axId val="9350703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20857913"/>
        <c:crossesAt val="0"/>
        <c:auto val="1"/>
        <c:lblAlgn val="ctr"/>
        <c:lblOffset val="100"/>
      </c:catAx>
      <c:valAx>
        <c:axId val="2085791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noFill/>
          </a:ln>
        </c:spPr>
        <c:crossAx val="93507037"/>
        <c:crossesAt val="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Графік із зображенням  експериментальних даних і теоретичних значень для оцінки середнього часу очікування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Експериментальні значення</c:v>
                </c:pt>
              </c:strCache>
            </c:strRef>
          </c:tx>
          <c:spPr>
            <a:solidFill>
              <a:srgbClr val="4f81bd"/>
            </a:solidFill>
            <a:ln w="19080">
              <a:solidFill>
                <a:srgbClr val="4f81bd"/>
              </a:solidFill>
              <a:round/>
            </a:ln>
          </c:spPr>
          <c:marker>
            <c:size val="4"/>
          </c:marker>
          <c:smooth val="1"/>
          <c:cat>
            <c:strRef>
              <c:f>categories</c:f>
              <c:strCache>
                <c:ptCount val="6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6"/>
                <c:pt idx="0">
                  <c:v>0.253</c:v>
                </c:pt>
                <c:pt idx="1">
                  <c:v>0.53</c:v>
                </c:pt>
                <c:pt idx="2">
                  <c:v>0.959</c:v>
                </c:pt>
                <c:pt idx="3">
                  <c:v>1.854</c:v>
                </c:pt>
                <c:pt idx="4">
                  <c:v>3.32</c:v>
                </c:pt>
                <c:pt idx="5">
                  <c:v>6.45</c:v>
                </c:pt>
              </c:numCache>
            </c:numRef>
          </c:yVal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Теоретичні значення</c:v>
                </c:pt>
              </c:strCache>
            </c:strRef>
          </c:tx>
          <c:spPr>
            <a:solidFill>
              <a:srgbClr val="c0504d"/>
            </a:solidFill>
            <a:ln w="19080">
              <a:solidFill>
                <a:srgbClr val="c0504d"/>
              </a:solidFill>
              <a:round/>
            </a:ln>
          </c:spPr>
          <c:marker>
            <c:size val="4"/>
          </c:marker>
          <c:smooth val="1"/>
          <c:cat>
            <c:strRef>
              <c:f>categories</c:f>
              <c:strCache>
                <c:ptCount val="6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strCache>
            </c:strRef>
          </c:cat>
          <c:x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0.257</c:v>
                </c:pt>
                <c:pt idx="1">
                  <c:v>0.533</c:v>
                </c:pt>
                <c:pt idx="2">
                  <c:v>1</c:v>
                </c:pt>
                <c:pt idx="3">
                  <c:v>1.8</c:v>
                </c:pt>
                <c:pt idx="4">
                  <c:v>3.267</c:v>
                </c:pt>
                <c:pt idx="5">
                  <c:v>6.4</c:v>
                </c:pt>
              </c:numCache>
            </c:numRef>
          </c:yVal>
        </c:ser>
        <c:axId val="75530226"/>
        <c:axId val="53752325"/>
      </c:scatterChart>
      <c:valAx>
        <c:axId val="75530226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53752325"/>
        <c:crossesAt val="0"/>
      </c:valAx>
      <c:valAx>
        <c:axId val="5375232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75530226"/>
        <c:crossesAt val="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400">
                <a:solidFill>
                  <a:srgbClr val="595959"/>
                </a:solidFill>
                <a:latin typeface="Calibri"/>
              </a:rPr>
              <a:t>Графік із зображенням  експериментальних даних і теоретичних значень для оцінки середньої довжини черги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Експериментальні значення</c:v>
                </c:pt>
              </c:strCache>
            </c:strRef>
          </c:tx>
          <c:spPr>
            <a:solidFill>
              <a:srgbClr val="4f81bd"/>
            </a:solidFill>
            <a:ln w="19080">
              <a:solidFill>
                <a:srgbClr val="4f81bd"/>
              </a:solidFill>
              <a:round/>
            </a:ln>
          </c:spPr>
          <c:marker>
            <c:size val="4"/>
          </c:marker>
          <c:smooth val="1"/>
          <c:cat>
            <c:strRef>
              <c:f>categories</c:f>
              <c:strCache>
                <c:ptCount val="5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0.264</c:v>
                </c:pt>
                <c:pt idx="1">
                  <c:v>0.493</c:v>
                </c:pt>
                <c:pt idx="2">
                  <c:v>0.899</c:v>
                </c:pt>
                <c:pt idx="3">
                  <c:v>1.596</c:v>
                </c:pt>
                <c:pt idx="4">
                  <c:v>3.19</c:v>
                </c:pt>
              </c:numCache>
            </c:numRef>
          </c:yVal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Теоретичні значення</c:v>
                </c:pt>
              </c:strCache>
            </c:strRef>
          </c:tx>
          <c:spPr>
            <a:solidFill>
              <a:srgbClr val="c0504d"/>
            </a:solidFill>
            <a:ln w="19080">
              <a:solidFill>
                <a:srgbClr val="c0504d"/>
              </a:solidFill>
              <a:round/>
            </a:ln>
          </c:spPr>
          <c:marker>
            <c:size val="4"/>
          </c:marker>
          <c:smooth val="1"/>
          <c:cat>
            <c:strRef>
              <c:f>categories</c:f>
              <c:strCache>
                <c:ptCount val="5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</c:strCache>
            </c:strRef>
          </c:cat>
          <c:xVal>
            <c:numRef>
              <c:f>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5"/>
                <c:pt idx="0">
                  <c:v>0.267</c:v>
                </c:pt>
                <c:pt idx="1">
                  <c:v>0.5</c:v>
                </c:pt>
                <c:pt idx="2">
                  <c:v>0.9</c:v>
                </c:pt>
                <c:pt idx="3">
                  <c:v>1.63</c:v>
                </c:pt>
                <c:pt idx="4">
                  <c:v>3.2</c:v>
                </c:pt>
              </c:numCache>
            </c:numRef>
          </c:yVal>
        </c:ser>
        <c:axId val="17946093"/>
        <c:axId val="56757292"/>
      </c:scatterChart>
      <c:valAx>
        <c:axId val="17946093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56757292"/>
        <c:crossesAt val="0"/>
      </c:valAx>
      <c:valAx>
        <c:axId val="5675729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crossAx val="17946093"/>
        <c:crossesAt val="0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2015-04-14T18:59:00Z</dcterms:created>
  <dc:creator>гришенька</dc:creator>
  <dc:language>ru-RU</dc:language>
  <cp:lastModifiedBy>гришенька</cp:lastModifiedBy>
  <dcterms:modified xsi:type="dcterms:W3CDTF">2015-04-19T14:50:00Z</dcterms:modified>
  <cp:revision>4</cp:revision>
</cp:coreProperties>
</file>