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 w:val="0"/>
          <w:i w:val="0"/>
        </w:rPr>
        <w:t>报警管理系统技术结项报告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1. 文档身份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字段</w:t>
            </w:r>
          </w:p>
        </w:tc>
        <w:tc>
          <w:tcPr>
            <w:tcW w:type="dxa" w:w="464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内容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文档性质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研发技术范围结项说明；不是行政审批结项证书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产品名称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报警管理系统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编制日期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2026-08-27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技术基线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v0.8.0</w:t>
            </w:r>
            <w:r>
              <w:rPr>
                <w:rFonts w:ascii="Arial" w:hAnsi="Arial" w:eastAsia="Microsoft YaHei"/>
                <w:b w:val="0"/>
                <w:i w:val="0"/>
              </w:rPr>
              <w:t xml:space="preserve"> 及 M9–M12 固定证据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项目编号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由项目管理方填写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承担单位、部门、负责人及成员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由项目管理方填写，不在技术仓库证明范围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预算、支出、资产与知识产权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由项目管理、财务和法务资料确认，不在技术仓库证明范围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审批、鉴定、签章与正式结项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由有权限人员履行，不由自动化文档代替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2. 证据基线与范围</w:t>
      </w:r>
    </w:p>
    <w:p>
      <w:r>
        <w:rPr>
          <w:rFonts w:ascii="Arial" w:hAnsi="Arial" w:eastAsia="Microsoft YaHei"/>
          <w:b w:val="0"/>
          <w:i w:val="0"/>
        </w:rPr>
        <w:t xml:space="preserve">本报告依据 </w:t>
      </w:r>
      <w:r>
        <w:rPr>
          <w:rFonts w:ascii="Arial" w:hAnsi="Arial" w:eastAsia="Microsoft YaHei"/>
          <w:b w:val="0"/>
          <w:i w:val="0"/>
        </w:rPr>
        <w:t>需求追踪（../product/requirements.md）</w:t>
      </w:r>
      <w:r>
        <w:rPr>
          <w:rFonts w:ascii="Arial" w:hAnsi="Arial" w:eastAsia="Microsoft YaHei"/>
          <w:b w:val="0"/>
          <w:i w:val="0"/>
        </w:rPr>
        <w:t>、</w:t>
      </w:r>
      <w:r>
        <w:rPr>
          <w:rFonts w:ascii="Arial" w:hAnsi="Arial" w:eastAsia="Microsoft YaHei"/>
          <w:b w:val="0"/>
          <w:i w:val="0"/>
        </w:rPr>
        <w:t>来源能力闭环（../product/source-coverage.md）</w:t>
      </w:r>
      <w:r>
        <w:rPr>
          <w:rFonts w:ascii="Arial" w:hAnsi="Arial" w:eastAsia="Microsoft YaHei"/>
          <w:b w:val="0"/>
          <w:i w:val="0"/>
        </w:rPr>
        <w:t>、</w:t>
      </w:r>
      <w:r>
        <w:rPr>
          <w:rFonts w:ascii="Arial" w:hAnsi="Arial" w:eastAsia="Microsoft YaHei"/>
          <w:b w:val="0"/>
          <w:i w:val="0"/>
        </w:rPr>
        <w:t>M7 中期证据（../verification/evidence/M7.md）</w:t>
      </w:r>
      <w:r>
        <w:rPr>
          <w:rFonts w:ascii="Arial" w:hAnsi="Arial" w:eastAsia="Microsoft YaHei"/>
          <w:b w:val="0"/>
          <w:i w:val="0"/>
        </w:rPr>
        <w:t xml:space="preserve">及 </w:t>
      </w:r>
      <w:r>
        <w:rPr>
          <w:rFonts w:ascii="Arial" w:hAnsi="Arial" w:eastAsia="Microsoft YaHei"/>
          <w:b w:val="0"/>
          <w:i w:val="0"/>
        </w:rPr>
        <w:t>M9（../verification/evidence/M9.md）</w:t>
      </w:r>
      <w:r>
        <w:rPr>
          <w:rFonts w:ascii="Arial" w:hAnsi="Arial" w:eastAsia="Microsoft YaHei"/>
          <w:b w:val="0"/>
          <w:i w:val="0"/>
        </w:rPr>
        <w:t xml:space="preserve">至 </w:t>
      </w:r>
      <w:r>
        <w:rPr>
          <w:rFonts w:ascii="Arial" w:hAnsi="Arial" w:eastAsia="Microsoft YaHei"/>
          <w:b w:val="0"/>
          <w:i w:val="0"/>
        </w:rPr>
        <w:t>M12（../verification/evidence/M12.md）</w:t>
      </w:r>
      <w:r>
        <w:rPr>
          <w:rFonts w:ascii="Arial" w:hAnsi="Arial" w:eastAsia="Microsoft YaHei"/>
          <w:b w:val="0"/>
          <w:i w:val="0"/>
        </w:rPr>
        <w:t>的固定提交、测试和独立复核编制。</w:t>
      </w:r>
    </w:p>
    <w:p>
      <w:r>
        <w:rPr>
          <w:rFonts w:ascii="Arial" w:hAnsi="Arial" w:eastAsia="Microsoft YaHei"/>
          <w:b w:val="0"/>
          <w:i w:val="0"/>
        </w:rPr>
        <w:t>“技术结项”仅表示当前约定的研发实现、自动化和技术文档范围具备收口条件。M13 仍需生成并验证正式文档产物；M14 仍需完成 Windows 11 非技术业务用户终验和人工正式发布门槛。因此本文不宣称项目已获得正式审批结项。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3. 建设目标达成情况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目标</w:t>
            </w:r>
          </w:p>
        </w:tc>
        <w:tc>
          <w:tcPr>
            <w:tcW w:type="dxa" w:w="309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当前结果</w:t>
            </w:r>
          </w:p>
        </w:tc>
        <w:tc>
          <w:tcPr>
            <w:tcW w:type="dxa" w:w="309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边界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业务人员可操作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中文浏览器完成项目、导入、纠错、分析、处置、报告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M14 尚需由目标用户独立验证说明可理解性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新数据可分析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hybrid-v2 对输入实际计算规则、Markov 关联和原因建议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不证明根因、概率或真实准确率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数据可追溯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PostgreSQL 事实源、原始行、算法原值、人工修订、处置与审计保留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不包含在线现场数据源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可部署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Windows 11 x64 自包含 ZIP 优先，Docker Compose 次级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不包含 MSI、Windows 服务、自动更新或云平台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安全边界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会话、CSRF、角色、项目隔离、输入上限、回环/HTTPS、秘密权限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不代替外部渗透或合规认证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可恢复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手动/计划备份、状态校验、隔离恢复和 17 项事实对账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不自动覆盖业务库，不承诺异地灾备目标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可维护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阶段化工作流、固定提交、PR、远端检查、失败证据和独立复核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后续变更仍须遵循相同门槛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4. 主要技术成果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Java 21 Spring Boot 作为唯一业务写入者，负责身份、授权、业务事务、审计和报告。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Python 3.12 FastAPI 提供版本化纯计算算法，不直连业务数据库。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PostgreSQL 17 与 Flyway 提供唯一业务事实和可重建结构。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Vue 3 提供全中文项目工作台、导入向导、分析看板、处置、报告和管理页面。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hybrid-v2 实现时序专家规则、一阶 Markov 关联、可配置参数、固定大小解释和原因弃权。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CSV、制表符 TXT、XLSX 支持等价导入、映射、逐行错误、纠错和整批原子性。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Windows 原生与 Docker 两条部署链、PDF/XLSX 业务报告、备份恢复和演示复位均有运行证据。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5. 验收与质量摘要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M9 证明算法不依赖场景名或固定映射，并覆盖未见位号、扰动、随机负控和 20,000 行路径。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M10 证明双项目隔离、图形化映射、纠错、人工数据、归档和中文六步浏览器闭环。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M11 通过 32 项黑盒安全检查，并用真实 PostgreSQL 并发屏障验证关键事务门闩。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M12 通过 131 项开发测试、重复业务、三轮 20,000 行、双目录原生、隔离恢复、质量与依赖审计。</w:t>
      </w:r>
    </w:p>
    <w:p>
      <w:pPr>
        <w:pStyle w:val="ListBullet"/>
      </w:pPr>
      <w:r>
        <w:rPr>
          <w:rFonts w:ascii="Consolas" w:hAnsi="Consolas" w:eastAsia="Microsoft YaHei"/>
          <w:b w:val="0"/>
          <w:i w:val="0"/>
          <w:color w:val="464646"/>
          <w:sz w:val="19"/>
        </w:rPr>
        <w:t>v0.8.0</w:t>
      </w:r>
      <w:r>
        <w:rPr>
          <w:rFonts w:ascii="Arial" w:hAnsi="Arial" w:eastAsia="Microsoft YaHei"/>
          <w:b w:val="0"/>
          <w:i w:val="0"/>
        </w:rPr>
        <w:t xml:space="preserve"> 发布 PR、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main</w:t>
      </w:r>
      <w:r>
        <w:rPr>
          <w:rFonts w:ascii="Arial" w:hAnsi="Arial" w:eastAsia="Microsoft YaHei"/>
          <w:b w:val="0"/>
          <w:i w:val="0"/>
        </w:rPr>
        <w:t xml:space="preserve"> 发布提交和对应远端检查可追溯。</w:t>
      </w:r>
    </w:p>
    <w:p>
      <w:r>
        <w:rPr>
          <w:rFonts w:ascii="Arial" w:hAnsi="Arial" w:eastAsia="Microsoft YaHei"/>
          <w:b w:val="0"/>
          <w:i w:val="0"/>
        </w:rPr>
        <w:t>详细数值和运行标识以</w:t>
      </w:r>
      <w:r>
        <w:rPr>
          <w:rFonts w:ascii="Arial" w:hAnsi="Arial" w:eastAsia="Microsoft YaHei"/>
          <w:b w:val="0"/>
          <w:i w:val="0"/>
        </w:rPr>
        <w:t>测试报告（test-report.md）</w:t>
      </w:r>
      <w:r>
        <w:rPr>
          <w:rFonts w:ascii="Arial" w:hAnsi="Arial" w:eastAsia="Microsoft YaHei"/>
          <w:b w:val="0"/>
          <w:i w:val="0"/>
        </w:rPr>
        <w:t>及阶段证据为准，本文不重复扩大结论。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6. 相对原始方案的调整</w:t>
      </w:r>
    </w:p>
    <w:p>
      <w:r>
        <w:rPr>
          <w:rFonts w:ascii="Arial" w:hAnsi="Arial" w:eastAsia="Microsoft YaHei"/>
          <w:b w:val="0"/>
          <w:i w:val="0"/>
        </w:rPr>
        <w:t>当前实现保留原始材料中有业务价值的导入、清洗、分析、关联、处置、报告、项目、权限、审计和备份目标，同时纠正下列路径：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采用 PostgreSQL/Windows 和四组件高内聚边界，拒绝冲突数据库、动态分片和无需求的分布式基础设施。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把“根因确认”收敛为可解释原因建议和关联链，保留人工判断责任。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把性能、准确率、长稳和容量主张改为有环境、数据、窗口和原始证据的有限结论。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把在线接口、真实平台集成、合规和设备矩阵放入明确外部重启条件。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明确拒绝任何工业控制写入和离线产品中的虚假实时监控。</w:t>
      </w:r>
    </w:p>
    <w:p>
      <w:r>
        <w:rPr>
          <w:rFonts w:ascii="Arial" w:hAnsi="Arial" w:eastAsia="Microsoft YaHei"/>
          <w:b w:val="0"/>
          <w:i w:val="0"/>
        </w:rPr>
        <w:t>逐项责任见</w:t>
      </w:r>
      <w:r>
        <w:rPr>
          <w:rFonts w:ascii="Arial" w:hAnsi="Arial" w:eastAsia="Microsoft YaHei"/>
          <w:b w:val="0"/>
          <w:i w:val="0"/>
        </w:rPr>
        <w:t>原始方案差距说明（source-gap-analysis.md）</w:t>
      </w:r>
      <w:r>
        <w:rPr>
          <w:rFonts w:ascii="Arial" w:hAnsi="Arial" w:eastAsia="Microsoft YaHei"/>
          <w:b w:val="0"/>
          <w:i w:val="0"/>
        </w:rPr>
        <w:t>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7. 交付完整性</w:t>
      </w:r>
    </w:p>
    <w:p>
      <w:r>
        <w:rPr>
          <w:rFonts w:ascii="Arial" w:hAnsi="Arial" w:eastAsia="Microsoft YaHei"/>
          <w:b w:val="0"/>
          <w:i w:val="0"/>
        </w:rPr>
        <w:t>当前技术交付由源码、迁移、锁文件、样例、自动测试、构建脚本、原生包、Compose、业务报告、阶段证据和中文说明构成。正式过程文档以本目录 Markdown 为单一事实源，后续生成的 DOCX/PDF 必须与其内容一致，不得单独维护另一套结论。</w:t>
      </w:r>
    </w:p>
    <w:p>
      <w:r>
        <w:rPr>
          <w:rFonts w:ascii="Arial" w:hAnsi="Arial" w:eastAsia="Microsoft YaHei"/>
          <w:b w:val="0"/>
          <w:i w:val="0"/>
        </w:rPr>
        <w:t>正式发布物不得依赖未执行的假指令或占位代码。源码仓库中的自动化状态、证据和发布标签共同提供回退与追溯入口。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8. 未关闭事项与责任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M13：完成说明书、六份过程文件、DOCX/PDF 构建和事实一致性检查。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M14：在 Windows 11 上由不了解源码的业务人员按说明完成部署、登录、样例业务、报告、备份恢复和停止。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人工发布门槛：确认候选、签署验收、填写行政字段并决定是否正式结项。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外部条件项：真实准确率、长稳、容量并发、合规、兼容矩阵和外部接口；未满足条件不得转为承诺。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9. 风险与运行边界</w:t>
      </w:r>
    </w:p>
    <w:p>
      <w:r>
        <w:rPr>
          <w:rFonts w:ascii="Arial" w:hAnsi="Arial" w:eastAsia="Microsoft YaHei"/>
          <w:b w:val="0"/>
          <w:i w:val="0"/>
        </w:rPr>
        <w:t>系统分析的是用户主动导入的离线文件，不是现场控制系统。算法结果是决策辅助，业务人员必须结合上下文判断。网络部署需提供真实 TLS 材料；口令、数据库密钥和证书私钥不得进入仓库或报告。备份需定期执行隔离恢复验证，不能只以文件存在代替可恢复性。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10. 技术结项结论</w:t>
      </w:r>
    </w:p>
    <w:p>
      <w:r>
        <w:rPr>
          <w:rFonts w:ascii="Arial" w:hAnsi="Arial" w:eastAsia="Microsoft YaHei"/>
          <w:b w:val="0"/>
          <w:i w:val="0"/>
        </w:rPr>
        <w:t>当前约定的核心研发范围已形成稳定、可运行、可部署、可审计、可恢复的正式产品技术基线，具备进入 M14 业务用户终验的技术条件。只有在 M13 产物门槛、M14 用户终验和有权限人员审批均完成后，项目管理方才能作出正式结项与发布决定。</w:t>
      </w:r>
    </w:p>
    <w:sectPr w:rsidR="00FC693F" w:rsidRPr="0006063C" w:rsidSect="00034616">
      <w:footerReference w:type="default" r:id="rId9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Microsoft YaHei"/>
        <w:color w:val="646464"/>
        <w:sz w:val="16"/>
      </w:rPr>
      <w:t>报警管理系统 · 文档日期 2026-08-27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2F559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报警管理系统技术结项报告</dc:title>
  <dc:subject>报警管理系统正式项目交付物</dc:subject>
  <dc:creator>报警管理系统项目组</dc:creator>
  <cp:keywords>报警管理系统,项目交付</cp:keywords>
  <dc:description>generated by python-docx</dc:description>
  <cp:lastModifiedBy>报警管理系统项目组</cp:lastModifiedBy>
  <cp:revision>1</cp:revision>
  <dcterms:created xsi:type="dcterms:W3CDTF">2026-08-27T00:00:00Z</dcterms:created>
  <dcterms:modified xsi:type="dcterms:W3CDTF">2026-08-27T00:00:00Z</dcterms:modified>
  <cp:category/>
</cp:coreProperties>
</file>