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报警管理系统立项报告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技术仓库中的正式立项事实源；根据已实现系统与可追溯证据补编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预算与资金来源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审批、签章与生效日期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由有权限人员履行，不由自动化文档代替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本报告用于说明技术项目为何建设、建设什么、如何验收以及哪些事项不在当前范围。它不倒填历史审批，不证明人员、预算、知识产权、试点或采购事实。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</w:t>
      </w:r>
    </w:p>
    <w:p>
      <w:r>
        <w:rPr>
          <w:rFonts w:ascii="Arial" w:hAnsi="Arial" w:eastAsia="Microsoft YaHei"/>
          <w:b w:val="0"/>
          <w:i w:val="0"/>
        </w:rPr>
        <w:t>本报告采用下列仓库事实作为唯一技术基线：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需求追踪与采用矩阵（../product/requirements.md）</w:t>
      </w:r>
      <w:r>
        <w:rPr>
          <w:rFonts w:ascii="Arial" w:hAnsi="Arial" w:eastAsia="Microsoft YaHei"/>
          <w:b w:val="0"/>
          <w:i w:val="0"/>
        </w:rPr>
        <w:t>定义当前产品需求及拒绝项。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历史来源能力闭环矩阵（../product/source-coverage.md）</w:t>
      </w:r>
      <w:r>
        <w:rPr>
          <w:rFonts w:ascii="Arial" w:hAnsi="Arial" w:eastAsia="Microsoft YaHei"/>
          <w:b w:val="0"/>
          <w:i w:val="0"/>
        </w:rPr>
        <w:t>对原始 PDF/DOCX 能力逐项分派责任。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系统架构（../architecture/README.md）</w:t>
      </w:r>
      <w:r>
        <w:rPr>
          <w:rFonts w:ascii="Arial" w:hAnsi="Arial" w:eastAsia="Microsoft YaHei"/>
          <w:b w:val="0"/>
          <w:i w:val="0"/>
        </w:rPr>
        <w:t>和架构决策记录约束组件职责。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M7 证据（../verification/evidence/M7.md）</w:t>
      </w:r>
      <w:r>
        <w:rPr>
          <w:rFonts w:ascii="Arial" w:hAnsi="Arial" w:eastAsia="Microsoft YaHei"/>
          <w:b w:val="0"/>
          <w:i w:val="0"/>
        </w:rPr>
        <w:t>是本项目中期截止的不可变检查点。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M10（../verification/evidence/M10.md）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M11（../verification/evidence/M11.md）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M12（../verification/evidence/M12.md）</w:t>
      </w:r>
      <w:r>
        <w:rPr>
          <w:rFonts w:ascii="Arial" w:hAnsi="Arial" w:eastAsia="Microsoft YaHei"/>
          <w:b w:val="0"/>
          <w:i w:val="0"/>
        </w:rPr>
        <w:t>记录正式产品化、算法、业务、安全与可靠性结果。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当前已发布技术基线为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>；M13 文档交付和 M14 业务用户终验仍须分别通过其门槛。</w:t>
      </w:r>
    </w:p>
    <w:p>
      <w:r>
        <w:rPr>
          <w:rFonts w:ascii="Arial" w:hAnsi="Arial" w:eastAsia="Microsoft YaHei"/>
          <w:b w:val="0"/>
          <w:i w:val="0"/>
        </w:rPr>
        <w:t>原始材料只作为需求来源和历史证据，不直接证明当前实现、性能、合规或验收结论。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建设背景与必要性</w:t>
      </w:r>
    </w:p>
    <w:p>
      <w:r>
        <w:rPr>
          <w:rFonts w:ascii="Arial" w:hAnsi="Arial" w:eastAsia="Microsoft YaHei"/>
          <w:b w:val="0"/>
          <w:i w:val="0"/>
        </w:rPr>
        <w:t>报警数据通常来自不同表格，字段名称、编码和质量不一致。业务人员需要在不编辑源码、不直接操作数据库的前提下，完成项目建立、文件导入、错误修正、规则分析、人工判断、处置、报告和留痕。历史材料提出了大量工业化设想，但其中部分缺少真实接口、标注数据、目标硬件或合规责任人，也存在互相冲突的性能与架构描述。</w:t>
      </w:r>
    </w:p>
    <w:p>
      <w:r>
        <w:rPr>
          <w:rFonts w:ascii="Arial" w:hAnsi="Arial" w:eastAsia="Microsoft YaHei"/>
          <w:b w:val="0"/>
          <w:i w:val="0"/>
        </w:rPr>
        <w:t>因此，本项目采用“先交付可部署、可解释、可复核的离线闭环，再由明确外部条件开启扩展”的路线。当前成果以 Windows 11 x64 为首要平台，以固定合成数据和新输入均能实际计算为基本要求。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北极星与目标</w:t>
      </w:r>
    </w:p>
    <w:p>
      <w:r>
        <w:rPr>
          <w:rFonts w:ascii="Arial" w:hAnsi="Arial" w:eastAsia="Microsoft YaHei"/>
          <w:b w:val="0"/>
          <w:i w:val="0"/>
        </w:rPr>
        <w:t>北极星是：让不熟悉代码的业务人员，在 Windows 11 上依据中文说明完成部署与登录，创建项目，导入报警文件，触发可解释分析，核查关联与原因建议，完成人工处置并导出报告；全过程可审计、可复位、可备份并可隔离恢复验证。</w:t>
      </w:r>
    </w:p>
    <w:p>
      <w:r>
        <w:rPr>
          <w:rFonts w:ascii="Arial" w:hAnsi="Arial" w:eastAsia="Microsoft YaHei"/>
          <w:b w:val="0"/>
          <w:i w:val="0"/>
        </w:rPr>
        <w:t>技术目标包括：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 CSV、制表符 TXT、XLSX 的统一导入、映射、校验和原子提交。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提供对新数据真实计算的 hybrid-v2 模型：可解释时序专家规则、一阶 Markov 关联和可弃权原因建议。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提供项目化业务、中文可视化、人工修订、处置历史、PDF/XLSX 报告。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提供真实身份、项目角色、CSRF、输入限制、审计主体和跨项目隔离。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 Windows 自包含运行包，兼顾 Docker Compose 次级部署。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提供备份、隔离恢复对账、精确清理、有限可靠性和依赖质量检查。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形成可维护的说明书、过程文件和最终业务用户验收材料。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建设范围与边界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当前范围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离线报警文件的导入、预览、纠错和批次管理。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项目、报警、分析、处置、审计、报告和恢复点管理。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数学与专家混合模型的可解释输出，不读取演示场景名或固定结果表。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 21 Spring Boot 主业务、Python 3.12 FastAPI 纯计算、PostgreSQL 17 唯一事实源、Vue 3 浏览器界面。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11 x64 原生包优先；Docker Compose 作为次级交付。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本机回环 HTTP；网络部署仅公开 HTTPS 8443。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不在当前范围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不接入 OPC、DCS、实时报警流或外部项目/安全平台，除非接口、授权、测试环境和责任人齐备并另立阶段。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不执行摄像头、门禁、照明、短信或工业设备控制联动。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不宣称自动确认根因、生产准确率、法规认证、长期无故障或任意硬件性能。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不建设分布式微服务群、消息队列、缓存集群、多租户云平台、在线模板引擎或第二套业务实现。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备份验收为隔离恢复与对账，不自动覆盖或提升为当前生产数据库。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总体技术方案</w:t>
      </w:r>
    </w:p>
    <w:p>
      <w:r>
        <w:rPr>
          <w:rFonts w:ascii="Arial" w:hAnsi="Arial" w:eastAsia="Microsoft YaHei"/>
          <w:b w:val="0"/>
          <w:i w:val="0"/>
        </w:rPr>
        <w:t>浏览器只访问 Java 业务服务。Java 负责认证、授权、业务事务、数据库写入、报告和审计；Python 仅接受版本化分析请求并返回计算结果，不连接业务数据库；PostgreSQL 是唯一业务事实源；Vue 静态产物由 Java 托管。</w:t>
      </w:r>
    </w:p>
    <w:p>
      <w:r>
        <w:rPr>
          <w:rFonts w:ascii="Arial" w:hAnsi="Arial" w:eastAsia="Microsoft YaHei"/>
          <w:b w:val="0"/>
          <w:i w:val="0"/>
        </w:rPr>
        <w:t>hybrid-v2 对时间顺序、状态变化和可配置阈值进行规则计算，并按 episode 统计一阶 Markov 关联。原因类别是带证据的建议，信息不足时返回未知，不包装为概率或因果证明。人工修订保留算法原值、操作者、理由和时间。</w:t>
      </w:r>
    </w:p>
    <w:p>
      <w:r>
        <w:rPr>
          <w:rFonts w:ascii="Arial" w:hAnsi="Arial" w:eastAsia="Microsoft YaHei"/>
          <w:b w:val="0"/>
          <w:i w:val="0"/>
        </w:rPr>
        <w:t>部署采用受控启动、停止、复位、备份、状态和清理脚本。原生模式固定回环监听；网络模式缺少 TLS 材料即拒绝启动，数据库和算法端口不对外发布。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阶段与验收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验收原则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M0–M7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来源提取、最小业务闭环、Windows 原生包、Docker 次级交付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每阶段固定提交、自动命令、保存证据和独立复核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正式产品基线、来源能力责任闭环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所有来源能力有实现、阶段、外部条件或拒绝结论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M9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算法与泛化验证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新位号、时间平移、随机负控和大样本均由真实计算得出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项目化业务与全中文 UX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浏览器完成项目、导入、纠错、分析、处置和报告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身份、权限与安全部署边界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认证、CSRF、角色、IDOR、输入上限、HTTPS 负控通过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恢复、质量和有限可靠性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备份隔离恢复对账、重复运行、资源和依赖门槛通过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正式说明书与过程文件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Markdown 单一事实源及可打开的 DOCX/PDF 与事实一致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业务用户终验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非开发人员按说明独立完成完整闭环，阻断/严重缺陷为零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阶段通过必须绑定实际成功命令、固定提交和证据；文档中的计划或预期不等于通过。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交付物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Java/Python/Vue/PostgreSQL 组成的正式源码与自动化测试。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11 x64 自包含 ZIP、启动停止脚本和次级 Docker Compose 配置。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合成示例数据、预期结果、业务 PDF/XLSX 报告。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业务、部署、管理员、备份恢复与故障排查说明。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立项、中期、测试、技术结项、开发过程及来源差距说明。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固定提交、远端流水线、运行日志和阶段证据。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风险与外部依赖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真实准确率需要代表性脱敏标注集、独立评估方法和签字责任。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长期稳定性、容量与并发需要目标硬件、负载、时长和允许失败边界。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外部系统接入需要接口所有者、协议、认证、数据授权和隔离测试环境。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合规结论需要适用法规版本、条款映射、批准模板和有权限的审核签字。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Office/WPS、Windows Server 和设备兼容性需要明确版本矩阵与真实测试机。</w:t>
      </w:r>
    </w:p>
    <w:p>
      <w:r>
        <w:rPr>
          <w:rFonts w:ascii="Arial" w:hAnsi="Arial" w:eastAsia="Microsoft YaHei"/>
          <w:b w:val="0"/>
          <w:i w:val="0"/>
        </w:rPr>
        <w:t>上述条件未满足时，相关功能保持关闭，不以按钮、配置或文字承诺代替实现。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立项结论边界</w:t>
      </w:r>
    </w:p>
    <w:p>
      <w:r>
        <w:rPr>
          <w:rFonts w:ascii="Arial" w:hAnsi="Arial" w:eastAsia="Microsoft YaHei"/>
          <w:b w:val="0"/>
          <w:i w:val="0"/>
        </w:rPr>
        <w:t>从技术可行性和当前证据看，本项目可以按上述范围形成正式报警管理系统，并已具备阶段化、可回退和可验证的工程路径。本报告支持技术立项与研发范围说明，不构成行政批准、预算批复、采购确认、知识产权归属或正式验收签章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报警管理系统立项报告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