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报警管理系统技术结项报告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研发技术范围结项说明；不是行政审批结项证书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、M9–M14 固定证据及 </w:t>
            </w:r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v1.0.0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发布目标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预算、支出、资产与知识产权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由项目管理、财务和法务资料确认，不在技术仓库证明范围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审批、鉴定、签章与正式结项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>本报告依据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需求与能力闭环（../product/source-coverage.md）</w:t>
      </w:r>
      <w:r>
        <w:rPr>
          <w:rFonts w:ascii="Arial" w:hAnsi="Arial" w:eastAsia="Microsoft YaHei"/>
          <w:b w:val="0"/>
          <w:i w:val="0"/>
        </w:rPr>
        <w:t>、M7 中期固定检查点及 M9–M13 的固定提交、测试和独立复核结果编制。</w:t>
      </w:r>
    </w:p>
    <w:p>
      <w:r>
        <w:rPr>
          <w:rFonts w:ascii="Arial" w:hAnsi="Arial" w:eastAsia="Microsoft YaHei"/>
          <w:b w:val="0"/>
          <w:i w:val="0"/>
        </w:rPr>
        <w:t>“技术结项”表示当前约定的研发实现、可重复验收和技术文档范围具备收口条件。固定候选已经完成 Windows 11 自动业务验收，项目负责人已确认符合交付预期并授权正式发布。单位行政审批、资产移交和签章不由本技术报告代替。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建设目标达成情况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目标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业务人员可操作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中文浏览器完成项目、导入、纠错、分析、处置、报告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标准用户验收与项目负责人结果性确认已完成；具体单位仍可使用自己的签章表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新数据可分析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对输入实际计算规则、Markov 关联和原因建议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不证明根因、概率或真实准确率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数据可追溯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事实源、原始行、算法原值、人工修订、处置与审计保留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不包含在线现场数据源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可部署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 ZIP 优先，Docker Compose 次级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 MSI、Windows 服务、自动更新或云平台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安全边界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会话、CSRF、角色、项目隔离、输入上限、回环/HTTPS、秘密权限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不代替外部渗透或合规认证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手动/计划备份、状态校验、隔离恢复和 17 项事实对账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不自动覆盖业务库，不承诺异地灾备目标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可维护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阶段化工作流、固定提交、PR、远端检查、失败证据和独立复核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后续变更仍须遵循相同门槛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主要技术成果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Java 21 Spring Boot 作为唯一业务写入者，负责身份、授权、业务事务、审计和报告。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Python 3.12 FastAPI 提供版本化纯计算算法，不直连业务数据库。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PostgreSQL 17 与 Flyway 提供唯一业务事实和可重建结构。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Vue 3 提供全中文项目工作台、导入向导、分析看板、处置、报告和管理页面。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分析链组合时序专家规则、一阶 Markov 关联、LinearSVC 与 AdaBoost 监督分类器；信息不足时可弃权，并保留规则证据、模型版本和人工复核入口。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监督模型参数采用 AES-256-GCM 认证加密封装，运行密钥与模型文件分离；篡改、缺失或错误密钥导致加载失败，不以明文模型继续运行。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CSV、制表符 TXT、XLSX 支持等价导入、映射、逐行错误、纠错和整批原子性。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原生与 Docker 两条部署链、PDF/XLSX 业务报告、备份恢复和演示复位均有运行证据。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验收与质量摘要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证明算法不依赖场景名或固定映射，并覆盖未见位号、扰动、随机负控和 20,000 行路径。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证明双项目隔离、图形化映射、纠错、人工数据、归档和中文六步浏览器闭环。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通过 32 项黑盒安全检查，并用真实 PostgreSQL 并发屏障验证关键事务门闩。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通过 131 项开发测试、重复业务、三轮 20,000 行、双目录原生、隔离恢复、质量与依赖审计。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发布 PR、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发布提交和对应远端检查可追溯。</w:t>
      </w:r>
    </w:p>
    <w:p>
      <w:r>
        <w:rPr>
          <w:rFonts w:ascii="Arial" w:hAnsi="Arial" w:eastAsia="Microsoft YaHei"/>
          <w:b w:val="0"/>
          <w:i w:val="0"/>
        </w:rPr>
        <w:t>详细数值和运行标识以</w:t>
      </w:r>
      <w:r>
        <w:rPr>
          <w:rFonts w:ascii="Arial" w:hAnsi="Arial" w:eastAsia="Microsoft YaHei"/>
          <w:b w:val="0"/>
          <w:i w:val="0"/>
        </w:rPr>
        <w:t>测试报告（test-report.md）</w:t>
      </w:r>
      <w:r>
        <w:rPr>
          <w:rFonts w:ascii="Arial" w:hAnsi="Arial" w:eastAsia="Microsoft YaHei"/>
          <w:b w:val="0"/>
          <w:i w:val="0"/>
        </w:rPr>
        <w:t>及阶段证据为准，本文不重复扩大结论。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相对原始方案的调整</w:t>
      </w:r>
    </w:p>
    <w:p>
      <w:r>
        <w:rPr>
          <w:rFonts w:ascii="Arial" w:hAnsi="Arial" w:eastAsia="Microsoft YaHei"/>
          <w:b w:val="0"/>
          <w:i w:val="0"/>
        </w:rPr>
        <w:t>当前实现保留初期需求中有业务价值的导入、清洗、分析、关联、处置、报告、项目、权限、审计和备份目标，同时纠正下列路径：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采用 PostgreSQL/Windows 和四组件高内聚边界，拒绝冲突数据库、动态分片和无需求的分布式基础设施。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把“根因确认”收敛为可解释原因建议和关联链，保留人工判断责任。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把性能、准确率、长稳和容量主张改为有环境、数据、窗口和原始证据的有限结论。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把在线接口、真实平台集成、合规和设备矩阵放入明确外部重启条件。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明确拒绝任何工业控制写入和离线产品中的虚假实时监控。</w:t>
      </w:r>
    </w:p>
    <w:p>
      <w:r>
        <w:rPr>
          <w:rFonts w:ascii="Arial" w:hAnsi="Arial" w:eastAsia="Microsoft YaHei"/>
          <w:b w:val="0"/>
          <w:i w:val="0"/>
        </w:rPr>
        <w:t>逐项责任见</w:t>
      </w:r>
      <w:r>
        <w:rPr>
          <w:rFonts w:ascii="Arial" w:hAnsi="Arial" w:eastAsia="Microsoft YaHei"/>
          <w:b w:val="0"/>
          <w:i w:val="0"/>
        </w:rPr>
        <w:t>初期方案与正式实现差异说明（source-gap-analysis.md）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交付完整性</w:t>
      </w:r>
    </w:p>
    <w:p>
      <w:r>
        <w:rPr>
          <w:rFonts w:ascii="Arial" w:hAnsi="Arial" w:eastAsia="Microsoft YaHei"/>
          <w:b w:val="0"/>
          <w:i w:val="0"/>
        </w:rPr>
        <w:t>当前技术交付由源码、迁移、锁文件、样例、自动测试、构建脚本、原生包、Compose、业务报告、阶段证据和中文说明构成。正式过程文档以本目录 Markdown 为单一事实源，后续生成的 DOCX/PDF 必须与其内容一致，不得单独维护另一套结论。</w:t>
      </w:r>
    </w:p>
    <w:p>
      <w:r>
        <w:rPr>
          <w:rFonts w:ascii="Arial" w:hAnsi="Arial" w:eastAsia="Microsoft YaHei"/>
          <w:b w:val="0"/>
          <w:i w:val="0"/>
        </w:rPr>
        <w:t>正式发布物不得依赖未执行的假指令或不完整实现。版本记录、验收结果和发布标签共同提供回退与追溯入口。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未关闭事项与责任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M13：已完成说明书、项目过程文件、DOCX/PDF 构建和事实一致性检查。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M14：固定候选已完成 Windows 11 标准用户部署、登录、样例业务、报告、备份恢复和停止验收，项目负责人已给出结果性 PASS。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行政手续：项目编号、单位、人员、预算、资产、知识产权归属及签章仍由对应责任方填写。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外部条件项：真实准确率、长稳、容量并发、合规、兼容矩阵和外部接口；未满足条件不得转为承诺。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风险与运行边界</w:t>
      </w:r>
    </w:p>
    <w:p>
      <w:r>
        <w:rPr>
          <w:rFonts w:ascii="Arial" w:hAnsi="Arial" w:eastAsia="Microsoft YaHei"/>
          <w:b w:val="0"/>
          <w:i w:val="0"/>
        </w:rPr>
        <w:t>系统分析的是用户主动导入的离线文件，不是现场控制系统。算法结果是决策辅助，业务人员必须结合上下文判断。网络部署需提供真实 TLS 材料；口令、数据库密钥和证书私钥不得进入仓库或报告。备份需定期执行隔离恢复验证，不能只以文件存在代替可恢复性。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技术结项结论</w:t>
      </w:r>
    </w:p>
    <w:p>
      <w:r>
        <w:rPr>
          <w:rFonts w:ascii="Arial" w:hAnsi="Arial" w:eastAsia="Microsoft YaHei"/>
          <w:b w:val="0"/>
          <w:i w:val="0"/>
        </w:rPr>
        <w:t xml:space="preserve">当前约定的核心研发范围已形成稳定、可运行、可部署、可审计、可恢复的正式产品技术基线。M13 文档门槛、M14 自动验收和项目负责人交付可行性确认均已完成，并已授权在发布 PR 与远端 CI 成功后创建 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v1.0.0</w:t>
      </w:r>
      <w:r>
        <w:rPr>
          <w:rFonts w:ascii="Arial" w:hAnsi="Arial" w:eastAsia="Microsoft YaHei"/>
          <w:b w:val="0"/>
          <w:i w:val="0"/>
        </w:rPr>
        <w:t>。因此研发技术范围可以结项；行政结项、财务结算、资产登记和单位签章由项目管理方另行完成。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11. 成果、推广与移交建议</w:t>
      </w:r>
    </w:p>
    <w:p>
      <w:r>
        <w:rPr>
          <w:rFonts w:ascii="Arial" w:hAnsi="Arial" w:eastAsia="Microsoft YaHei"/>
          <w:b w:val="0"/>
          <w:i w:val="0"/>
        </w:rPr>
        <w:t>本项目形成的可转移成果包括：Windows 自包含程序、Docker 次级部署、数据库迁移、混合算法及加密模型制品、样例与错误数据、自动测试、中文业务与运维说明、十份正式 DOCX/PDF、页面截图和专利申请主体草案。程序用于离线报警管理；项目过程文件用于验收和追溯；专利草案用于知识产权评估，三者不得互相替代。</w:t>
      </w:r>
    </w:p>
    <w:p>
      <w:r>
        <w:rPr>
          <w:rFonts w:ascii="Arial" w:hAnsi="Arial" w:eastAsia="Microsoft YaHei"/>
          <w:b w:val="0"/>
          <w:i w:val="0"/>
        </w:rPr>
        <w:t>移交时建议分别指定业务负责人、系统管理员、数据库/备份责任人和模型责任人。业务负责人解释原因建议及人工复核边界；系统管理员管理账号和本机实例；备份责任人定期验证恢复点；模型责任人使用获授权现场数据评估漂移和版本替换。首次现场试用应保留现有模型作为基线，新增指标必须绑定数据版本、分组方法和报告，不覆盖历史结果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报警管理系统技术结项报告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