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Preprocessing &amp; EDA Report</w:t>
      </w:r>
    </w:p>
    <w:p>
      <w:pPr>
        <w:pBdr>
          <w:bottom w:val="single" w:color="2E74B5" w:sz="8" w:space="6"/>
        </w:pBdr>
        <w:spacing w:after="260"/>
      </w:pPr>
      <w:r>
        <w:rPr>
          <w:i/>
          <w:iCs/>
          <w:color w:val="595959"/>
          <w:sz w:val="26"/>
          <w:szCs w:val="26"/>
        </w:rPr>
        <w:t xml:space="preserve">Bayesian Hierarchical Model — Diabetes 130-US Hospitals Readmission Data</w:t>
      </w:r>
    </w:p>
    <w:p>
      <w:pPr>
        <w:pStyle w:val="Heading1"/>
        <w:spacing w:after="140" w:before="300"/>
      </w:pPr>
      <w:r>
        <w:t xml:space="preserve">1. Dataset Overview</w:t>
      </w:r>
    </w:p>
    <w:p>
      <w:pPr>
        <w:spacing w:after="120"/>
      </w:pPr>
      <w:r>
        <w:t xml:space="preserve">Source: Diabetes 130-US Hospitals dataset (1999–2008), loaded from the raw CSV file diabetic_data.csv.</w:t>
      </w:r>
    </w:p>
    <w:p>
      <w:pPr>
        <w:pStyle w:val="ListParagraph"/>
        <w:numPr>
          <w:ilvl w:val="0"/>
          <w:numId w:val="2"/>
        </w:numPr>
        <w:spacing w:after="60"/>
      </w:pPr>
      <w:r>
        <w:rPr>
          <w:b w:val="false"/>
          <w:bCs w:val="false"/>
        </w:rPr>
        <w:t xml:space="preserve">Raw shape: 101,766 rows × 50 columns</w:t>
      </w:r>
    </w:p>
    <w:p>
      <w:pPr>
        <w:pStyle w:val="ListParagraph"/>
        <w:numPr>
          <w:ilvl w:val="0"/>
          <w:numId w:val="2"/>
        </w:numPr>
        <w:spacing w:after="60"/>
      </w:pPr>
      <w:r>
        <w:rPr>
          <w:b w:val="false"/>
          <w:bCs w:val="false"/>
        </w:rPr>
        <w:t xml:space="preserve">Final cleaned shape: 96,436 rows × 48 columns</w:t>
      </w:r>
    </w:p>
    <w:p>
      <w:pPr>
        <w:pStyle w:val="ListParagraph"/>
        <w:numPr>
          <w:ilvl w:val="0"/>
          <w:numId w:val="2"/>
        </w:numPr>
        <w:spacing w:after="60"/>
      </w:pPr>
      <w:r>
        <w:rPr>
          <w:b w:val="false"/>
          <w:bCs w:val="false"/>
        </w:rPr>
        <w:t xml:space="preserve">Target: readmitted_30d (binary — 1 = readmitted within 30 days, 0 = otherwise)</w:t>
      </w:r>
    </w:p>
    <w:p>
      <w:pPr>
        <w:pStyle w:val="ListParagraph"/>
        <w:numPr>
          <w:ilvl w:val="0"/>
          <w:numId w:val="2"/>
        </w:numPr>
        <w:spacing w:after="60"/>
      </w:pPr>
      <w:r>
        <w:rPr>
          <w:b w:val="false"/>
          <w:bCs w:val="false"/>
        </w:rPr>
        <w:t xml:space="preserve">Grouping variable for the hierarchical model: medical_specialty (73 distinct categories; hospital ID is not present in this dataset)</w:t>
      </w:r>
    </w:p>
    <w:p>
      <w:pPr>
        <w:pStyle w:val="Heading1"/>
        <w:spacing w:after="140" w:before="300"/>
      </w:pPr>
      <w:r>
        <w:t xml:space="preserve">2. Data Preprocessing</w:t>
      </w:r>
    </w:p>
    <w:p>
      <w:pPr>
        <w:pBdr>
          <w:bottom w:val="single" w:color="2E74B5" w:sz="6" w:space="4"/>
        </w:pBdr>
        <w:spacing w:after="100" w:before="220"/>
      </w:pPr>
      <w:r>
        <w:rPr>
          <w:b/>
          <w:bCs/>
          <w:color w:val="1F3864"/>
          <w:sz w:val="24"/>
          <w:szCs w:val="24"/>
        </w:rPr>
        <w:t xml:space="preserve">2.1 Missing Value Handling</w:t>
      </w:r>
    </w:p>
    <w:p>
      <w:pPr>
        <w:spacing w:after="120"/>
      </w:pPr>
      <w:r>
        <w:t xml:space="preserve">The dataset encodes missing values as the string '?' rather than a true NaN. After replacing these with NaN, missingness was assessed and handled per column: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4200"/>
      </w:tblGrid>
      <w:tr>
        <w:trPr>
          <w:tblHeader/>
        </w:trPr>
        <w:tc>
          <w:tcPr>
            <w:tcW w:type="dxa" w:w="3800"/>
            <w:shd w:fill="1F3864" w:val="clear"/>
            <w:tcMar>
              <w:top w:type="dxa" w:w="70"/>
              <w:left w:type="dxa" w:w="100"/>
              <w:bottom w:type="dxa" w:w="70"/>
              <w:right w:type="dxa" w:w="100"/>
            </w:tcMar>
          </w:tcPr>
          <w:p>
            <w:pPr>
              <w:jc w:val="left"/>
            </w:pPr>
            <w:r>
              <w:rPr>
                <w:b/>
                <w:bCs/>
                <w:color w:val="FFFFFF"/>
                <w:sz w:val="19"/>
                <w:szCs w:val="19"/>
              </w:rPr>
              <w:t xml:space="preserve">Column</w:t>
            </w:r>
          </w:p>
        </w:tc>
        <w:tc>
          <w:tcPr>
            <w:tcW w:type="dxa" w:w="1800"/>
            <w:shd w:fill="1F3864" w:val="clear"/>
            <w:tcMar>
              <w:top w:type="dxa" w:w="70"/>
              <w:left w:type="dxa" w:w="100"/>
              <w:bottom w:type="dxa" w:w="70"/>
              <w:right w:type="dxa" w:w="100"/>
            </w:tcMar>
          </w:tcPr>
          <w:p>
            <w:pPr>
              <w:jc w:val="left"/>
            </w:pPr>
            <w:r>
              <w:rPr>
                <w:b/>
                <w:bCs/>
                <w:color w:val="FFFFFF"/>
                <w:sz w:val="19"/>
                <w:szCs w:val="19"/>
              </w:rPr>
              <w:t xml:space="preserve">% Missing</w:t>
            </w:r>
          </w:p>
        </w:tc>
        <w:tc>
          <w:tcPr>
            <w:tcW w:type="dxa" w:w="4200"/>
            <w:shd w:fill="1F3864" w:val="clear"/>
            <w:tcMar>
              <w:top w:type="dxa" w:w="70"/>
              <w:left w:type="dxa" w:w="100"/>
              <w:bottom w:type="dxa" w:w="70"/>
              <w:right w:type="dxa" w:w="100"/>
            </w:tcMar>
          </w:tcPr>
          <w:p>
            <w:pPr>
              <w:jc w:val="left"/>
            </w:pPr>
            <w:r>
              <w:rPr>
                <w:b/>
                <w:bCs/>
                <w:color w:val="FFFFFF"/>
                <w:sz w:val="19"/>
                <w:szCs w:val="19"/>
              </w:rPr>
              <w:t xml:space="preserve">Action Taken</w:t>
            </w:r>
          </w:p>
        </w:tc>
      </w:tr>
      <w:tr>
        <w:tc>
          <w:tcPr>
            <w:tcW w:type="dxa" w:w="3800"/>
            <w:shd w:fill="F2F7FC" w:val="clear"/>
            <w:tcMar>
              <w:top w:type="dxa" w:w="70"/>
              <w:left w:type="dxa" w:w="100"/>
              <w:bottom w:type="dxa" w:w="70"/>
              <w:right w:type="dxa" w:w="100"/>
            </w:tcMar>
          </w:tcPr>
          <w:p>
            <w:pPr>
              <w:jc w:val="left"/>
            </w:pPr>
            <w:r>
              <w:rPr>
                <w:b w:val="false"/>
                <w:bCs w:val="false"/>
                <w:sz w:val="19"/>
                <w:szCs w:val="19"/>
              </w:rPr>
              <w:t xml:space="preserve">weight</w:t>
            </w:r>
          </w:p>
        </w:tc>
        <w:tc>
          <w:tcPr>
            <w:tcW w:type="dxa" w:w="1800"/>
            <w:shd w:fill="F2F7FC" w:val="clear"/>
            <w:tcMar>
              <w:top w:type="dxa" w:w="70"/>
              <w:left w:type="dxa" w:w="100"/>
              <w:bottom w:type="dxa" w:w="70"/>
              <w:right w:type="dxa" w:w="100"/>
            </w:tcMar>
          </w:tcPr>
          <w:p>
            <w:pPr>
              <w:jc w:val="left"/>
            </w:pPr>
            <w:r>
              <w:rPr>
                <w:b w:val="false"/>
                <w:bCs w:val="false"/>
                <w:sz w:val="19"/>
                <w:szCs w:val="19"/>
              </w:rPr>
              <w:t xml:space="preserve">96.9%</w:t>
            </w:r>
          </w:p>
        </w:tc>
        <w:tc>
          <w:tcPr>
            <w:tcW w:type="dxa" w:w="4200"/>
            <w:shd w:fill="F2F7FC" w:val="clear"/>
            <w:tcMar>
              <w:top w:type="dxa" w:w="70"/>
              <w:left w:type="dxa" w:w="100"/>
              <w:bottom w:type="dxa" w:w="70"/>
              <w:right w:type="dxa" w:w="100"/>
            </w:tcMar>
          </w:tcPr>
          <w:p>
            <w:pPr>
              <w:jc w:val="left"/>
            </w:pPr>
            <w:r>
              <w:rPr>
                <w:b w:val="false"/>
                <w:bCs w:val="false"/>
                <w:sz w:val="19"/>
                <w:szCs w:val="19"/>
              </w:rPr>
              <w:t xml:space="preserve">Dropped</w:t>
            </w:r>
          </w:p>
        </w:tc>
      </w:tr>
      <w:tr>
        <w:tc>
          <w:tcPr>
            <w:tcW w:type="dxa" w:w="3800"/>
            <w:shd w:fill="FFFFFF" w:val="clear"/>
            <w:tcMar>
              <w:top w:type="dxa" w:w="70"/>
              <w:left w:type="dxa" w:w="100"/>
              <w:bottom w:type="dxa" w:w="70"/>
              <w:right w:type="dxa" w:w="100"/>
            </w:tcMar>
          </w:tcPr>
          <w:p>
            <w:pPr>
              <w:jc w:val="left"/>
            </w:pPr>
            <w:r>
              <w:rPr>
                <w:b w:val="false"/>
                <w:bCs w:val="false"/>
                <w:sz w:val="19"/>
                <w:szCs w:val="19"/>
              </w:rPr>
              <w:t xml:space="preserve">max_glu_serum</w:t>
            </w:r>
          </w:p>
        </w:tc>
        <w:tc>
          <w:tcPr>
            <w:tcW w:type="dxa" w:w="1800"/>
            <w:shd w:fill="FFFFFF" w:val="clear"/>
            <w:tcMar>
              <w:top w:type="dxa" w:w="70"/>
              <w:left w:type="dxa" w:w="100"/>
              <w:bottom w:type="dxa" w:w="70"/>
              <w:right w:type="dxa" w:w="100"/>
            </w:tcMar>
          </w:tcPr>
          <w:p>
            <w:pPr>
              <w:jc w:val="left"/>
            </w:pPr>
            <w:r>
              <w:rPr>
                <w:b w:val="false"/>
                <w:bCs w:val="false"/>
                <w:sz w:val="19"/>
                <w:szCs w:val="19"/>
              </w:rPr>
              <w:t xml:space="preserve">94.7%</w:t>
            </w:r>
          </w:p>
        </w:tc>
        <w:tc>
          <w:tcPr>
            <w:tcW w:type="dxa" w:w="4200"/>
            <w:shd w:fill="FFFFFF" w:val="clear"/>
            <w:tcMar>
              <w:top w:type="dxa" w:w="70"/>
              <w:left w:type="dxa" w:w="100"/>
              <w:bottom w:type="dxa" w:w="70"/>
              <w:right w:type="dxa" w:w="100"/>
            </w:tcMar>
          </w:tcPr>
          <w:p>
            <w:pPr>
              <w:jc w:val="left"/>
            </w:pPr>
            <w:r>
              <w:rPr>
                <w:b w:val="false"/>
                <w:bCs w:val="false"/>
                <w:sz w:val="19"/>
                <w:szCs w:val="19"/>
              </w:rPr>
              <w:t xml:space="preserve">Dropped</w:t>
            </w:r>
          </w:p>
        </w:tc>
      </w:tr>
      <w:tr>
        <w:tc>
          <w:tcPr>
            <w:tcW w:type="dxa" w:w="3800"/>
            <w:shd w:fill="F2F7FC" w:val="clear"/>
            <w:tcMar>
              <w:top w:type="dxa" w:w="70"/>
              <w:left w:type="dxa" w:w="100"/>
              <w:bottom w:type="dxa" w:w="70"/>
              <w:right w:type="dxa" w:w="100"/>
            </w:tcMar>
          </w:tcPr>
          <w:p>
            <w:pPr>
              <w:jc w:val="left"/>
            </w:pPr>
            <w:r>
              <w:rPr>
                <w:b w:val="false"/>
                <w:bCs w:val="false"/>
                <w:sz w:val="19"/>
                <w:szCs w:val="19"/>
              </w:rPr>
              <w:t xml:space="preserve">A1Cresult</w:t>
            </w:r>
          </w:p>
        </w:tc>
        <w:tc>
          <w:tcPr>
            <w:tcW w:type="dxa" w:w="1800"/>
            <w:shd w:fill="F2F7FC" w:val="clear"/>
            <w:tcMar>
              <w:top w:type="dxa" w:w="70"/>
              <w:left w:type="dxa" w:w="100"/>
              <w:bottom w:type="dxa" w:w="70"/>
              <w:right w:type="dxa" w:w="100"/>
            </w:tcMar>
          </w:tcPr>
          <w:p>
            <w:pPr>
              <w:jc w:val="left"/>
            </w:pPr>
            <w:r>
              <w:rPr>
                <w:b w:val="false"/>
                <w:bCs w:val="false"/>
                <w:sz w:val="19"/>
                <w:szCs w:val="19"/>
              </w:rPr>
              <w:t xml:space="preserve">83.3%</w:t>
            </w:r>
          </w:p>
        </w:tc>
        <w:tc>
          <w:tcPr>
            <w:tcW w:type="dxa" w:w="4200"/>
            <w:shd w:fill="F2F7FC" w:val="clear"/>
            <w:tcMar>
              <w:top w:type="dxa" w:w="70"/>
              <w:left w:type="dxa" w:w="100"/>
              <w:bottom w:type="dxa" w:w="70"/>
              <w:right w:type="dxa" w:w="100"/>
            </w:tcMar>
          </w:tcPr>
          <w:p>
            <w:pPr>
              <w:jc w:val="left"/>
            </w:pPr>
            <w:r>
              <w:rPr>
                <w:b w:val="false"/>
                <w:bCs w:val="false"/>
                <w:sz w:val="19"/>
                <w:szCs w:val="19"/>
              </w:rPr>
              <w:t xml:space="preserve">Filled as 'Not tested' category</w:t>
            </w:r>
          </w:p>
        </w:tc>
      </w:tr>
      <w:tr>
        <w:tc>
          <w:tcPr>
            <w:tcW w:type="dxa" w:w="3800"/>
            <w:shd w:fill="FFFFFF" w:val="clear"/>
            <w:tcMar>
              <w:top w:type="dxa" w:w="70"/>
              <w:left w:type="dxa" w:w="100"/>
              <w:bottom w:type="dxa" w:w="70"/>
              <w:right w:type="dxa" w:w="100"/>
            </w:tcMar>
          </w:tcPr>
          <w:p>
            <w:pPr>
              <w:jc w:val="left"/>
            </w:pPr>
            <w:r>
              <w:rPr>
                <w:b w:val="false"/>
                <w:bCs w:val="false"/>
                <w:sz w:val="19"/>
                <w:szCs w:val="19"/>
              </w:rPr>
              <w:t xml:space="preserve">medical_specialty</w:t>
            </w:r>
          </w:p>
        </w:tc>
        <w:tc>
          <w:tcPr>
            <w:tcW w:type="dxa" w:w="1800"/>
            <w:shd w:fill="FFFFFF" w:val="clear"/>
            <w:tcMar>
              <w:top w:type="dxa" w:w="70"/>
              <w:left w:type="dxa" w:w="100"/>
              <w:bottom w:type="dxa" w:w="70"/>
              <w:right w:type="dxa" w:w="100"/>
            </w:tcMar>
          </w:tcPr>
          <w:p>
            <w:pPr>
              <w:jc w:val="left"/>
            </w:pPr>
            <w:r>
              <w:rPr>
                <w:b w:val="false"/>
                <w:bCs w:val="false"/>
                <w:sz w:val="19"/>
                <w:szCs w:val="19"/>
              </w:rPr>
              <w:t xml:space="preserve">49.1%</w:t>
            </w:r>
          </w:p>
        </w:tc>
        <w:tc>
          <w:tcPr>
            <w:tcW w:type="dxa" w:w="4200"/>
            <w:shd w:fill="FFFFFF" w:val="clear"/>
            <w:tcMar>
              <w:top w:type="dxa" w:w="70"/>
              <w:left w:type="dxa" w:w="100"/>
              <w:bottom w:type="dxa" w:w="70"/>
              <w:right w:type="dxa" w:w="100"/>
            </w:tcMar>
          </w:tcPr>
          <w:p>
            <w:pPr>
              <w:jc w:val="left"/>
            </w:pPr>
            <w:r>
              <w:rPr>
                <w:b w:val="false"/>
                <w:bCs w:val="false"/>
                <w:sz w:val="19"/>
                <w:szCs w:val="19"/>
              </w:rPr>
              <w:t xml:space="preserve">Filled as 'Unknown' category (grouping variable)</w:t>
            </w:r>
          </w:p>
        </w:tc>
      </w:tr>
      <w:tr>
        <w:tc>
          <w:tcPr>
            <w:tcW w:type="dxa" w:w="3800"/>
            <w:shd w:fill="F2F7FC" w:val="clear"/>
            <w:tcMar>
              <w:top w:type="dxa" w:w="70"/>
              <w:left w:type="dxa" w:w="100"/>
              <w:bottom w:type="dxa" w:w="70"/>
              <w:right w:type="dxa" w:w="100"/>
            </w:tcMar>
          </w:tcPr>
          <w:p>
            <w:pPr>
              <w:jc w:val="left"/>
            </w:pPr>
            <w:r>
              <w:rPr>
                <w:b w:val="false"/>
                <w:bCs w:val="false"/>
                <w:sz w:val="19"/>
                <w:szCs w:val="19"/>
              </w:rPr>
              <w:t xml:space="preserve">payer_code</w:t>
            </w:r>
          </w:p>
        </w:tc>
        <w:tc>
          <w:tcPr>
            <w:tcW w:type="dxa" w:w="1800"/>
            <w:shd w:fill="F2F7FC" w:val="clear"/>
            <w:tcMar>
              <w:top w:type="dxa" w:w="70"/>
              <w:left w:type="dxa" w:w="100"/>
              <w:bottom w:type="dxa" w:w="70"/>
              <w:right w:type="dxa" w:w="100"/>
            </w:tcMar>
          </w:tcPr>
          <w:p>
            <w:pPr>
              <w:jc w:val="left"/>
            </w:pPr>
            <w:r>
              <w:rPr>
                <w:b w:val="false"/>
                <w:bCs w:val="false"/>
                <w:sz w:val="19"/>
                <w:szCs w:val="19"/>
              </w:rPr>
              <w:t xml:space="preserve">39.6%</w:t>
            </w:r>
          </w:p>
        </w:tc>
        <w:tc>
          <w:tcPr>
            <w:tcW w:type="dxa" w:w="4200"/>
            <w:shd w:fill="F2F7FC" w:val="clear"/>
            <w:tcMar>
              <w:top w:type="dxa" w:w="70"/>
              <w:left w:type="dxa" w:w="100"/>
              <w:bottom w:type="dxa" w:w="70"/>
              <w:right w:type="dxa" w:w="100"/>
            </w:tcMar>
          </w:tcPr>
          <w:p>
            <w:pPr>
              <w:jc w:val="left"/>
            </w:pPr>
            <w:r>
              <w:rPr>
                <w:b w:val="false"/>
                <w:bCs w:val="false"/>
                <w:sz w:val="19"/>
                <w:szCs w:val="19"/>
              </w:rPr>
              <w:t xml:space="preserve">Dropped</w:t>
            </w:r>
          </w:p>
        </w:tc>
      </w:tr>
      <w:tr>
        <w:tc>
          <w:tcPr>
            <w:tcW w:type="dxa" w:w="3800"/>
            <w:shd w:fill="FFFFFF" w:val="clear"/>
            <w:tcMar>
              <w:top w:type="dxa" w:w="70"/>
              <w:left w:type="dxa" w:w="100"/>
              <w:bottom w:type="dxa" w:w="70"/>
              <w:right w:type="dxa" w:w="100"/>
            </w:tcMar>
          </w:tcPr>
          <w:p>
            <w:pPr>
              <w:jc w:val="left"/>
            </w:pPr>
            <w:r>
              <w:rPr>
                <w:b w:val="false"/>
                <w:bCs w:val="false"/>
                <w:sz w:val="19"/>
                <w:szCs w:val="19"/>
              </w:rPr>
              <w:t xml:space="preserve">race</w:t>
            </w:r>
          </w:p>
        </w:tc>
        <w:tc>
          <w:tcPr>
            <w:tcW w:type="dxa" w:w="1800"/>
            <w:shd w:fill="FFFFFF" w:val="clear"/>
            <w:tcMar>
              <w:top w:type="dxa" w:w="70"/>
              <w:left w:type="dxa" w:w="100"/>
              <w:bottom w:type="dxa" w:w="70"/>
              <w:right w:type="dxa" w:w="100"/>
            </w:tcMar>
          </w:tcPr>
          <w:p>
            <w:pPr>
              <w:jc w:val="left"/>
            </w:pPr>
            <w:r>
              <w:rPr>
                <w:b w:val="false"/>
                <w:bCs w:val="false"/>
                <w:sz w:val="19"/>
                <w:szCs w:val="19"/>
              </w:rPr>
              <w:t xml:space="preserve">2.2%</w:t>
            </w:r>
          </w:p>
        </w:tc>
        <w:tc>
          <w:tcPr>
            <w:tcW w:type="dxa" w:w="4200"/>
            <w:shd w:fill="FFFFFF" w:val="clear"/>
            <w:tcMar>
              <w:top w:type="dxa" w:w="70"/>
              <w:left w:type="dxa" w:w="100"/>
              <w:bottom w:type="dxa" w:w="70"/>
              <w:right w:type="dxa" w:w="100"/>
            </w:tcMar>
          </w:tcPr>
          <w:p>
            <w:pPr>
              <w:jc w:val="left"/>
            </w:pPr>
            <w:r>
              <w:rPr>
                <w:b w:val="false"/>
                <w:bCs w:val="false"/>
                <w:sz w:val="19"/>
                <w:szCs w:val="19"/>
              </w:rPr>
              <w:t xml:space="preserve">Rows dropped</w:t>
            </w:r>
          </w:p>
        </w:tc>
      </w:tr>
      <w:tr>
        <w:tc>
          <w:tcPr>
            <w:tcW w:type="dxa" w:w="3800"/>
            <w:shd w:fill="F2F7FC" w:val="clear"/>
            <w:tcMar>
              <w:top w:type="dxa" w:w="70"/>
              <w:left w:type="dxa" w:w="100"/>
              <w:bottom w:type="dxa" w:w="70"/>
              <w:right w:type="dxa" w:w="100"/>
            </w:tcMar>
          </w:tcPr>
          <w:p>
            <w:pPr>
              <w:jc w:val="left"/>
            </w:pPr>
            <w:r>
              <w:rPr>
                <w:b w:val="false"/>
                <w:bCs w:val="false"/>
                <w:sz w:val="19"/>
                <w:szCs w:val="19"/>
              </w:rPr>
              <w:t xml:space="preserve">diag_1 / diag_2 / diag_3</w:t>
            </w:r>
          </w:p>
        </w:tc>
        <w:tc>
          <w:tcPr>
            <w:tcW w:type="dxa" w:w="1800"/>
            <w:shd w:fill="F2F7FC" w:val="clear"/>
            <w:tcMar>
              <w:top w:type="dxa" w:w="70"/>
              <w:left w:type="dxa" w:w="100"/>
              <w:bottom w:type="dxa" w:w="70"/>
              <w:right w:type="dxa" w:w="100"/>
            </w:tcMar>
          </w:tcPr>
          <w:p>
            <w:pPr>
              <w:jc w:val="left"/>
            </w:pPr>
            <w:r>
              <w:rPr>
                <w:b w:val="false"/>
                <w:bCs w:val="false"/>
                <w:sz w:val="19"/>
                <w:szCs w:val="19"/>
              </w:rPr>
              <w:t xml:space="preserve">≤1.4%</w:t>
            </w:r>
          </w:p>
        </w:tc>
        <w:tc>
          <w:tcPr>
            <w:tcW w:type="dxa" w:w="4200"/>
            <w:shd w:fill="F2F7FC" w:val="clear"/>
            <w:tcMar>
              <w:top w:type="dxa" w:w="70"/>
              <w:left w:type="dxa" w:w="100"/>
              <w:bottom w:type="dxa" w:w="70"/>
              <w:right w:type="dxa" w:w="100"/>
            </w:tcMar>
          </w:tcPr>
          <w:p>
            <w:pPr>
              <w:jc w:val="left"/>
            </w:pPr>
            <w:r>
              <w:rPr>
                <w:b w:val="false"/>
                <w:bCs w:val="false"/>
                <w:sz w:val="19"/>
                <w:szCs w:val="19"/>
              </w:rPr>
              <w:t xml:space="preserve">Rows dropped</w:t>
            </w:r>
          </w:p>
        </w:tc>
      </w:tr>
    </w:tbl>
    <w:p>
      <w:pPr>
        <w:spacing w:after="120"/>
      </w:pPr>
      <w:r>
        <w:t xml:space="preserve"> </w:t>
      </w:r>
    </w:p>
    <w:p>
      <w:pPr>
        <w:spacing w:after="120"/>
      </w:pPr>
      <w:r>
        <w:t xml:space="preserve">A1Cresult was kept rather than dropped despite 83.3% missingness, since whether HbA1c was tested at all is itself informative for readmission risk in this population. medical_specialty — the planned grouping variable — was kept with missing values folded into an 'Unknown' category rather than dropping ~49% of the dataset, preserving sample size for the hierarchical model.</w:t>
      </w:r>
    </w:p>
    <w:p>
      <w:pPr>
        <w:pBdr>
          <w:bottom w:val="single" w:color="2E74B5" w:sz="6" w:space="4"/>
        </w:pBdr>
        <w:spacing w:after="100" w:before="220"/>
      </w:pPr>
      <w:r>
        <w:rPr>
          <w:b/>
          <w:bCs/>
          <w:color w:val="1F3864"/>
          <w:sz w:val="24"/>
          <w:szCs w:val="24"/>
        </w:rPr>
        <w:t xml:space="preserve">2.2 Target Construction</w:t>
      </w:r>
    </w:p>
    <w:p>
      <w:pPr>
        <w:spacing w:after="120"/>
      </w:pPr>
      <w:r>
        <w:t xml:space="preserve">The raw readmitted field had three classes: NO (53.4%), &gt;30 (35.3%), and &lt;30 (11.3%). This was binarized into readmitted_30d (1 = &lt;30, 0 = otherwise), producing an 88.7% / 11.3% split — confirming a meaningfully imbalanced target that will need care during model evaluation.</w:t>
      </w:r>
    </w:p>
    <w:p>
      <w:pPr>
        <w:pBdr>
          <w:bottom w:val="single" w:color="2E74B5" w:sz="6" w:space="4"/>
        </w:pBdr>
        <w:spacing w:after="100" w:before="220"/>
      </w:pPr>
      <w:r>
        <w:rPr>
          <w:b/>
          <w:bCs/>
          <w:color w:val="1F3864"/>
          <w:sz w:val="24"/>
          <w:szCs w:val="24"/>
        </w:rPr>
        <w:t xml:space="preserve">2.3 Expired / Hospice Encounters</w:t>
      </w:r>
    </w:p>
    <w:p>
      <w:pPr>
        <w:spacing w:after="120"/>
      </w:pPr>
      <w:r>
        <w:t xml:space="preserve">Discharge disposition codes corresponding to patient death or hospice transfer (codes 11, 19, 20, 21) were identified and removed, since these encounters cannot be readmitted by definition. This removed 1,616 rows (1.6% of the data); the target distribution shifted only marginally (88.7% → 88.5% / 11.3% → 11.5%), confirming the fix was necessary on principle even though its numerical impact was small.</w:t>
      </w:r>
    </w:p>
    <w:p>
      <w:pPr>
        <w:pBdr>
          <w:bottom w:val="single" w:color="2E74B5" w:sz="6" w:space="4"/>
        </w:pBdr>
        <w:spacing w:after="100" w:before="220"/>
      </w:pPr>
      <w:r>
        <w:rPr>
          <w:b/>
          <w:bCs/>
          <w:color w:val="1F3864"/>
          <w:sz w:val="24"/>
          <w:szCs w:val="24"/>
        </w:rPr>
        <w:t xml:space="preserve">2.4 Patient-Level Duplication</w:t>
      </w:r>
    </w:p>
    <w:p>
      <w:pPr>
        <w:spacing w:after="120"/>
      </w:pPr>
      <w:r>
        <w:t xml:space="preserve">98,053 rows corresponded to only 68,630 unique patients (patient_nbr) — 29,423 rows (30%) were repeat encounters from returning patients. Repeat encounters from the same patient are not statistically independent, which can inflate model confidence and bias specialty-level estimates.</w:t>
      </w:r>
    </w:p>
    <w:p>
      <w:pPr>
        <w:spacing w:after="120"/>
      </w:pPr>
      <w:r>
        <w:t xml:space="preserve">Decision: all encounters were retained rather than reduced to one per patient, to preserve sample size for the smaller medical_specialty groups (41 of 73 specialties have fewer than 50 encounters). This is documented explicitly as a limitation of the analysis rather than silently ignored.</w:t>
      </w:r>
    </w:p>
    <w:p>
      <w:pPr>
        <w:pBdr>
          <w:bottom w:val="single" w:color="2E74B5" w:sz="6" w:space="4"/>
        </w:pBdr>
        <w:spacing w:after="100" w:before="220"/>
      </w:pPr>
      <w:r>
        <w:rPr>
          <w:b/>
          <w:bCs/>
          <w:color w:val="1F3864"/>
          <w:sz w:val="24"/>
          <w:szCs w:val="24"/>
        </w:rPr>
        <w:t xml:space="preserve">2.5 Other Cleaning</w:t>
      </w:r>
    </w:p>
    <w:p>
      <w:pPr>
        <w:pStyle w:val="ListParagraph"/>
        <w:numPr>
          <w:ilvl w:val="0"/>
          <w:numId w:val="2"/>
        </w:numPr>
        <w:spacing w:after="60"/>
      </w:pPr>
      <w:r>
        <w:rPr>
          <w:b w:val="false"/>
          <w:bCs w:val="false"/>
        </w:rPr>
        <w:t xml:space="preserve">gender: one row with 'Unknown/Invalid' value was dropped (negligible, &lt;0.001% of data)</w:t>
      </w:r>
    </w:p>
    <w:p>
      <w:pPr>
        <w:pStyle w:val="ListParagraph"/>
        <w:numPr>
          <w:ilvl w:val="0"/>
          <w:numId w:val="2"/>
        </w:numPr>
        <w:spacing w:after="60"/>
      </w:pPr>
      <w:r>
        <w:rPr>
          <w:b w:val="false"/>
          <w:bCs w:val="false"/>
        </w:rPr>
        <w:t xml:space="preserve">Checked for fully duplicate rows: none found</w:t>
      </w:r>
    </w:p>
    <w:p>
      <w:pPr>
        <w:pBdr>
          <w:bottom w:val="single" w:color="2E74B5" w:sz="6" w:space="4"/>
        </w:pBdr>
        <w:spacing w:after="100" w:before="220"/>
      </w:pPr>
      <w:r>
        <w:rPr>
          <w:b/>
          <w:bCs/>
          <w:color w:val="1F3864"/>
          <w:sz w:val="24"/>
          <w:szCs w:val="24"/>
        </w:rPr>
        <w:t xml:space="preserve">2.6 Final Cleaned Dataset</w:t>
      </w:r>
    </w:p>
    <w:p>
      <w:pPr>
        <w:spacing w:after="120"/>
      </w:pPr>
      <w:r>
        <w:t xml:space="preserve">96,436 rows × 48 columns, zero missing values, saved to data/diabetic_data_cleaned.csv for use in all downstream modeling notebooks.</w:t>
      </w:r>
    </w:p>
    <w:p>
      <w:pPr>
        <w:pStyle w:val="Heading1"/>
        <w:spacing w:after="140" w:before="300"/>
      </w:pPr>
      <w:r>
        <w:t xml:space="preserve">3. Exploratory Data Analysis</w:t>
      </w:r>
    </w:p>
    <w:p>
      <w:pPr>
        <w:pBdr>
          <w:bottom w:val="single" w:color="2E74B5" w:sz="6" w:space="4"/>
        </w:pBdr>
        <w:spacing w:after="100" w:before="220"/>
      </w:pPr>
      <w:r>
        <w:rPr>
          <w:b/>
          <w:bCs/>
          <w:color w:val="1F3864"/>
          <w:sz w:val="24"/>
          <w:szCs w:val="24"/>
        </w:rPr>
        <w:t xml:space="preserve">3.1 Readmission Rate by Medical Specialty</w:t>
      </w:r>
    </w:p>
    <w:p>
      <w:pPr>
        <w:spacing w:after="120"/>
      </w:pPr>
      <w:r>
        <w:t xml:space="preserve">This is the central plot motivating the hierarchical modeling approach. It shows each specialty's 30-day readmission rate against its sample size (log scale).</w:t>
      </w:r>
    </w:p>
    <w:p>
      <w:pPr>
        <w:spacing w:after="60" w:before="100"/>
        <w:jc w:val="center"/>
      </w:pPr>
      <w:r>
        <w:drawing>
          <wp:inline distT="0" distB="0" distL="0" distR="0">
            <wp:extent cx="1680882" cy="10085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80882" cy="1008529"/>
                    </a:xfrm>
                    <a:prstGeom prst="rect">
                      <a:avLst/>
                    </a:prstGeom>
                  </pic:spPr>
                </pic:pic>
              </a:graphicData>
            </a:graphic>
          </wp:inline>
        </w:drawing>
      </w:r>
    </w:p>
    <w:p>
      <w:pPr>
        <w:spacing w:after="220"/>
        <w:jc w:val="center"/>
      </w:pPr>
      <w:r>
        <w:rPr>
          <w:i/>
          <w:iCs/>
          <w:color w:val="595959"/>
          <w:sz w:val="18"/>
          <w:szCs w:val="18"/>
        </w:rPr>
        <w:t xml:space="preserve">Figure 1. Readmission rate vs. specialty sample size. Small specialties show extreme, noisy rates; large specialties cluster tightly around the overall average (dashed line).</w:t>
      </w:r>
    </w:p>
    <w:p>
      <w:pPr>
        <w:spacing w:after="120"/>
      </w:pPr>
      <w:r>
        <w:t xml:space="preserve">Small specialties (n &lt; 20) show wildly variable rates — from 0% to 50% — reflecting noise rather than genuine risk differences. Large specialties (n &gt; 1,000) cluster tightly in a 7–16% band around the overall average. This funnel pattern is the direct empirical justification for partial pooling: a no-pooling model would take small-specialty extremes at face value, while complete pooling would ignore real specialty-level variation entirely.</w:t>
      </w:r>
    </w:p>
    <w:p>
      <w:pPr>
        <w:spacing w:after="120"/>
      </w:pPr>
      <w:r>
        <w:t xml:space="preserve">Selected specialty-level readmission rates: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400"/>
      </w:tblGrid>
      <w:tr>
        <w:trPr>
          <w:tblHeader/>
        </w:trPr>
        <w:tc>
          <w:tcPr>
            <w:tcW w:type="dxa" w:w="3400"/>
            <w:shd w:fill="1F3864" w:val="clear"/>
            <w:tcMar>
              <w:top w:type="dxa" w:w="70"/>
              <w:left w:type="dxa" w:w="100"/>
              <w:bottom w:type="dxa" w:w="70"/>
              <w:right w:type="dxa" w:w="100"/>
            </w:tcMar>
          </w:tcPr>
          <w:p>
            <w:pPr>
              <w:jc w:val="left"/>
            </w:pPr>
            <w:r>
              <w:rPr>
                <w:b/>
                <w:bCs/>
                <w:color w:val="FFFFFF"/>
                <w:sz w:val="19"/>
                <w:szCs w:val="19"/>
              </w:rPr>
              <w:t xml:space="preserve">Specialty</w:t>
            </w:r>
          </w:p>
        </w:tc>
        <w:tc>
          <w:tcPr>
            <w:tcW w:type="dxa" w:w="2000"/>
            <w:shd w:fill="1F3864" w:val="clear"/>
            <w:tcMar>
              <w:top w:type="dxa" w:w="70"/>
              <w:left w:type="dxa" w:w="100"/>
              <w:bottom w:type="dxa" w:w="70"/>
              <w:right w:type="dxa" w:w="100"/>
            </w:tcMar>
          </w:tcPr>
          <w:p>
            <w:pPr>
              <w:jc w:val="left"/>
            </w:pPr>
            <w:r>
              <w:rPr>
                <w:b/>
                <w:bCs/>
                <w:color w:val="FFFFFF"/>
                <w:sz w:val="19"/>
                <w:szCs w:val="19"/>
              </w:rPr>
              <w:t xml:space="preserve">n Encounters</w:t>
            </w:r>
          </w:p>
        </w:tc>
        <w:tc>
          <w:tcPr>
            <w:tcW w:type="dxa" w:w="2400"/>
            <w:shd w:fill="1F3864" w:val="clear"/>
            <w:tcMar>
              <w:top w:type="dxa" w:w="70"/>
              <w:left w:type="dxa" w:w="100"/>
              <w:bottom w:type="dxa" w:w="70"/>
              <w:right w:type="dxa" w:w="100"/>
            </w:tcMar>
          </w:tcPr>
          <w:p>
            <w:pPr>
              <w:jc w:val="left"/>
            </w:pPr>
            <w:r>
              <w:rPr>
                <w:b/>
                <w:bCs/>
                <w:color w:val="FFFFFF"/>
                <w:sz w:val="19"/>
                <w:szCs w:val="19"/>
              </w:rPr>
              <w:t xml:space="preserve">Readmit Rate</w:t>
            </w:r>
          </w:p>
        </w:tc>
      </w:tr>
      <w:tr>
        <w:tc>
          <w:tcPr>
            <w:tcW w:type="dxa" w:w="3400"/>
            <w:shd w:fill="F2F7FC" w:val="clear"/>
            <w:tcMar>
              <w:top w:type="dxa" w:w="70"/>
              <w:left w:type="dxa" w:w="100"/>
              <w:bottom w:type="dxa" w:w="70"/>
              <w:right w:type="dxa" w:w="100"/>
            </w:tcMar>
          </w:tcPr>
          <w:p>
            <w:pPr>
              <w:jc w:val="left"/>
            </w:pPr>
            <w:r>
              <w:rPr>
                <w:b w:val="false"/>
                <w:bCs w:val="false"/>
                <w:sz w:val="19"/>
                <w:szCs w:val="19"/>
              </w:rPr>
              <w:t xml:space="preserve">Unknown</w:t>
            </w:r>
          </w:p>
        </w:tc>
        <w:tc>
          <w:tcPr>
            <w:tcW w:type="dxa" w:w="2000"/>
            <w:shd w:fill="F2F7FC" w:val="clear"/>
            <w:tcMar>
              <w:top w:type="dxa" w:w="70"/>
              <w:left w:type="dxa" w:w="100"/>
              <w:bottom w:type="dxa" w:w="70"/>
              <w:right w:type="dxa" w:w="100"/>
            </w:tcMar>
          </w:tcPr>
          <w:p>
            <w:pPr>
              <w:jc w:val="left"/>
            </w:pPr>
            <w:r>
              <w:rPr>
                <w:b w:val="false"/>
                <w:bCs w:val="false"/>
                <w:sz w:val="19"/>
                <w:szCs w:val="19"/>
              </w:rPr>
              <w:t xml:space="preserve">47,523</w:t>
            </w:r>
          </w:p>
        </w:tc>
        <w:tc>
          <w:tcPr>
            <w:tcW w:type="dxa" w:w="2400"/>
            <w:shd w:fill="F2F7FC" w:val="clear"/>
            <w:tcMar>
              <w:top w:type="dxa" w:w="70"/>
              <w:left w:type="dxa" w:w="100"/>
              <w:bottom w:type="dxa" w:w="70"/>
              <w:right w:type="dxa" w:w="100"/>
            </w:tcMar>
          </w:tcPr>
          <w:p>
            <w:pPr>
              <w:jc w:val="left"/>
            </w:pPr>
            <w:r>
              <w:rPr>
                <w:b w:val="false"/>
                <w:bCs w:val="false"/>
                <w:sz w:val="19"/>
                <w:szCs w:val="19"/>
              </w:rPr>
              <w:t xml:space="preserve">11.9%</w:t>
            </w:r>
          </w:p>
        </w:tc>
      </w:tr>
      <w:tr>
        <w:tc>
          <w:tcPr>
            <w:tcW w:type="dxa" w:w="3400"/>
            <w:shd w:fill="FFFFFF" w:val="clear"/>
            <w:tcMar>
              <w:top w:type="dxa" w:w="70"/>
              <w:left w:type="dxa" w:w="100"/>
              <w:bottom w:type="dxa" w:w="70"/>
              <w:right w:type="dxa" w:w="100"/>
            </w:tcMar>
          </w:tcPr>
          <w:p>
            <w:pPr>
              <w:jc w:val="left"/>
            </w:pPr>
            <w:r>
              <w:rPr>
                <w:b w:val="false"/>
                <w:bCs w:val="false"/>
                <w:sz w:val="19"/>
                <w:szCs w:val="19"/>
              </w:rPr>
              <w:t xml:space="preserve">InternalMedicine</w:t>
            </w:r>
          </w:p>
        </w:tc>
        <w:tc>
          <w:tcPr>
            <w:tcW w:type="dxa" w:w="2000"/>
            <w:shd w:fill="FFFFFF" w:val="clear"/>
            <w:tcMar>
              <w:top w:type="dxa" w:w="70"/>
              <w:left w:type="dxa" w:w="100"/>
              <w:bottom w:type="dxa" w:w="70"/>
              <w:right w:type="dxa" w:w="100"/>
            </w:tcMar>
          </w:tcPr>
          <w:p>
            <w:pPr>
              <w:jc w:val="left"/>
            </w:pPr>
            <w:r>
              <w:rPr>
                <w:b w:val="false"/>
                <w:bCs w:val="false"/>
                <w:sz w:val="19"/>
                <w:szCs w:val="19"/>
              </w:rPr>
              <w:t xml:space="preserve">13,665</w:t>
            </w:r>
          </w:p>
        </w:tc>
        <w:tc>
          <w:tcPr>
            <w:tcW w:type="dxa" w:w="2400"/>
            <w:shd w:fill="FFFFFF" w:val="clear"/>
            <w:tcMar>
              <w:top w:type="dxa" w:w="70"/>
              <w:left w:type="dxa" w:w="100"/>
              <w:bottom w:type="dxa" w:w="70"/>
              <w:right w:type="dxa" w:w="100"/>
            </w:tcMar>
          </w:tcPr>
          <w:p>
            <w:pPr>
              <w:jc w:val="left"/>
            </w:pPr>
            <w:r>
              <w:rPr>
                <w:b w:val="false"/>
                <w:bCs w:val="false"/>
                <w:sz w:val="19"/>
                <w:szCs w:val="19"/>
              </w:rPr>
              <w:t xml:space="preserve">11.6%</w:t>
            </w:r>
          </w:p>
        </w:tc>
      </w:tr>
      <w:tr>
        <w:tc>
          <w:tcPr>
            <w:tcW w:type="dxa" w:w="3400"/>
            <w:shd w:fill="F2F7FC" w:val="clear"/>
            <w:tcMar>
              <w:top w:type="dxa" w:w="70"/>
              <w:left w:type="dxa" w:w="100"/>
              <w:bottom w:type="dxa" w:w="70"/>
              <w:right w:type="dxa" w:w="100"/>
            </w:tcMar>
          </w:tcPr>
          <w:p>
            <w:pPr>
              <w:jc w:val="left"/>
            </w:pPr>
            <w:r>
              <w:rPr>
                <w:b w:val="false"/>
                <w:bCs w:val="false"/>
                <w:sz w:val="19"/>
                <w:szCs w:val="19"/>
              </w:rPr>
              <w:t xml:space="preserve">Emergency/Trauma</w:t>
            </w:r>
          </w:p>
        </w:tc>
        <w:tc>
          <w:tcPr>
            <w:tcW w:type="dxa" w:w="2000"/>
            <w:shd w:fill="F2F7FC" w:val="clear"/>
            <w:tcMar>
              <w:top w:type="dxa" w:w="70"/>
              <w:left w:type="dxa" w:w="100"/>
              <w:bottom w:type="dxa" w:w="70"/>
              <w:right w:type="dxa" w:w="100"/>
            </w:tcMar>
          </w:tcPr>
          <w:p>
            <w:pPr>
              <w:jc w:val="left"/>
            </w:pPr>
            <w:r>
              <w:rPr>
                <w:b w:val="false"/>
                <w:bCs w:val="false"/>
                <w:sz w:val="19"/>
                <w:szCs w:val="19"/>
              </w:rPr>
              <w:t xml:space="preserve">7,357</w:t>
            </w:r>
          </w:p>
        </w:tc>
        <w:tc>
          <w:tcPr>
            <w:tcW w:type="dxa" w:w="2400"/>
            <w:shd w:fill="F2F7FC" w:val="clear"/>
            <w:tcMar>
              <w:top w:type="dxa" w:w="70"/>
              <w:left w:type="dxa" w:w="100"/>
              <w:bottom w:type="dxa" w:w="70"/>
              <w:right w:type="dxa" w:w="100"/>
            </w:tcMar>
          </w:tcPr>
          <w:p>
            <w:pPr>
              <w:jc w:val="left"/>
            </w:pPr>
            <w:r>
              <w:rPr>
                <w:b w:val="false"/>
                <w:bCs w:val="false"/>
                <w:sz w:val="19"/>
                <w:szCs w:val="19"/>
              </w:rPr>
              <w:t xml:space="preserve">11.4%</w:t>
            </w:r>
          </w:p>
        </w:tc>
      </w:tr>
      <w:tr>
        <w:tc>
          <w:tcPr>
            <w:tcW w:type="dxa" w:w="3400"/>
            <w:shd w:fill="FFFFFF" w:val="clear"/>
            <w:tcMar>
              <w:top w:type="dxa" w:w="70"/>
              <w:left w:type="dxa" w:w="100"/>
              <w:bottom w:type="dxa" w:w="70"/>
              <w:right w:type="dxa" w:w="100"/>
            </w:tcMar>
          </w:tcPr>
          <w:p>
            <w:pPr>
              <w:jc w:val="left"/>
            </w:pPr>
            <w:r>
              <w:rPr>
                <w:b w:val="false"/>
                <w:bCs w:val="false"/>
                <w:sz w:val="19"/>
                <w:szCs w:val="19"/>
              </w:rPr>
              <w:t xml:space="preserve">Family/GeneralPractice</w:t>
            </w:r>
          </w:p>
        </w:tc>
        <w:tc>
          <w:tcPr>
            <w:tcW w:type="dxa" w:w="2000"/>
            <w:shd w:fill="FFFFFF" w:val="clear"/>
            <w:tcMar>
              <w:top w:type="dxa" w:w="70"/>
              <w:left w:type="dxa" w:w="100"/>
              <w:bottom w:type="dxa" w:w="70"/>
              <w:right w:type="dxa" w:w="100"/>
            </w:tcMar>
          </w:tcPr>
          <w:p>
            <w:pPr>
              <w:jc w:val="left"/>
            </w:pPr>
            <w:r>
              <w:rPr>
                <w:b w:val="false"/>
                <w:bCs w:val="false"/>
                <w:sz w:val="19"/>
                <w:szCs w:val="19"/>
              </w:rPr>
              <w:t xml:space="preserve">7,004</w:t>
            </w:r>
          </w:p>
        </w:tc>
        <w:tc>
          <w:tcPr>
            <w:tcW w:type="dxa" w:w="2400"/>
            <w:shd w:fill="FFFFFF" w:val="clear"/>
            <w:tcMar>
              <w:top w:type="dxa" w:w="70"/>
              <w:left w:type="dxa" w:w="100"/>
              <w:bottom w:type="dxa" w:w="70"/>
              <w:right w:type="dxa" w:w="100"/>
            </w:tcMar>
          </w:tcPr>
          <w:p>
            <w:pPr>
              <w:jc w:val="left"/>
            </w:pPr>
            <w:r>
              <w:rPr>
                <w:b w:val="false"/>
                <w:bCs w:val="false"/>
                <w:sz w:val="19"/>
                <w:szCs w:val="19"/>
              </w:rPr>
              <w:t xml:space="preserve">12.2%</w:t>
            </w:r>
          </w:p>
        </w:tc>
      </w:tr>
      <w:tr>
        <w:tc>
          <w:tcPr>
            <w:tcW w:type="dxa" w:w="3400"/>
            <w:shd w:fill="F2F7FC" w:val="clear"/>
            <w:tcMar>
              <w:top w:type="dxa" w:w="70"/>
              <w:left w:type="dxa" w:w="100"/>
              <w:bottom w:type="dxa" w:w="70"/>
              <w:right w:type="dxa" w:w="100"/>
            </w:tcMar>
          </w:tcPr>
          <w:p>
            <w:pPr>
              <w:jc w:val="left"/>
            </w:pPr>
            <w:r>
              <w:rPr>
                <w:b w:val="false"/>
                <w:bCs w:val="false"/>
                <w:sz w:val="19"/>
                <w:szCs w:val="19"/>
              </w:rPr>
              <w:t xml:space="preserve">Cardiology</w:t>
            </w:r>
          </w:p>
        </w:tc>
        <w:tc>
          <w:tcPr>
            <w:tcW w:type="dxa" w:w="2000"/>
            <w:shd w:fill="F2F7FC" w:val="clear"/>
            <w:tcMar>
              <w:top w:type="dxa" w:w="70"/>
              <w:left w:type="dxa" w:w="100"/>
              <w:bottom w:type="dxa" w:w="70"/>
              <w:right w:type="dxa" w:w="100"/>
            </w:tcMar>
          </w:tcPr>
          <w:p>
            <w:pPr>
              <w:jc w:val="left"/>
            </w:pPr>
            <w:r>
              <w:rPr>
                <w:b w:val="false"/>
                <w:bCs w:val="false"/>
                <w:sz w:val="19"/>
                <w:szCs w:val="19"/>
              </w:rPr>
              <w:t xml:space="preserve">5,163</w:t>
            </w:r>
          </w:p>
        </w:tc>
        <w:tc>
          <w:tcPr>
            <w:tcW w:type="dxa" w:w="2400"/>
            <w:shd w:fill="F2F7FC" w:val="clear"/>
            <w:tcMar>
              <w:top w:type="dxa" w:w="70"/>
              <w:left w:type="dxa" w:w="100"/>
              <w:bottom w:type="dxa" w:w="70"/>
              <w:right w:type="dxa" w:w="100"/>
            </w:tcMar>
          </w:tcPr>
          <w:p>
            <w:pPr>
              <w:jc w:val="left"/>
            </w:pPr>
            <w:r>
              <w:rPr>
                <w:b w:val="false"/>
                <w:bCs w:val="false"/>
                <w:sz w:val="19"/>
                <w:szCs w:val="19"/>
              </w:rPr>
              <w:t xml:space="preserve">8.2%</w:t>
            </w:r>
          </w:p>
        </w:tc>
      </w:tr>
      <w:tr>
        <w:tc>
          <w:tcPr>
            <w:tcW w:type="dxa" w:w="3400"/>
            <w:shd w:fill="FFFFFF" w:val="clear"/>
            <w:tcMar>
              <w:top w:type="dxa" w:w="70"/>
              <w:left w:type="dxa" w:w="100"/>
              <w:bottom w:type="dxa" w:w="70"/>
              <w:right w:type="dxa" w:w="100"/>
            </w:tcMar>
          </w:tcPr>
          <w:p>
            <w:pPr>
              <w:jc w:val="left"/>
            </w:pPr>
            <w:r>
              <w:rPr>
                <w:b w:val="false"/>
                <w:bCs w:val="false"/>
                <w:sz w:val="19"/>
                <w:szCs w:val="19"/>
              </w:rPr>
              <w:t xml:space="preserve">Surgery-General</w:t>
            </w:r>
          </w:p>
        </w:tc>
        <w:tc>
          <w:tcPr>
            <w:tcW w:type="dxa" w:w="2000"/>
            <w:shd w:fill="FFFFFF" w:val="clear"/>
            <w:tcMar>
              <w:top w:type="dxa" w:w="70"/>
              <w:left w:type="dxa" w:w="100"/>
              <w:bottom w:type="dxa" w:w="70"/>
              <w:right w:type="dxa" w:w="100"/>
            </w:tcMar>
          </w:tcPr>
          <w:p>
            <w:pPr>
              <w:jc w:val="left"/>
            </w:pPr>
            <w:r>
              <w:rPr>
                <w:b w:val="false"/>
                <w:bCs w:val="false"/>
                <w:sz w:val="19"/>
                <w:szCs w:val="19"/>
              </w:rPr>
              <w:t xml:space="preserve">2,939</w:t>
            </w:r>
          </w:p>
        </w:tc>
        <w:tc>
          <w:tcPr>
            <w:tcW w:type="dxa" w:w="2400"/>
            <w:shd w:fill="FFFFFF" w:val="clear"/>
            <w:tcMar>
              <w:top w:type="dxa" w:w="70"/>
              <w:left w:type="dxa" w:w="100"/>
              <w:bottom w:type="dxa" w:w="70"/>
              <w:right w:type="dxa" w:w="100"/>
            </w:tcMar>
          </w:tcPr>
          <w:p>
            <w:pPr>
              <w:jc w:val="left"/>
            </w:pPr>
            <w:r>
              <w:rPr>
                <w:b w:val="false"/>
                <w:bCs w:val="false"/>
                <w:sz w:val="19"/>
                <w:szCs w:val="19"/>
              </w:rPr>
              <w:t xml:space="preserve">11.2%</w:t>
            </w:r>
          </w:p>
        </w:tc>
      </w:tr>
      <w:tr>
        <w:tc>
          <w:tcPr>
            <w:tcW w:type="dxa" w:w="3400"/>
            <w:shd w:fill="F2F7FC" w:val="clear"/>
            <w:tcMar>
              <w:top w:type="dxa" w:w="70"/>
              <w:left w:type="dxa" w:w="100"/>
              <w:bottom w:type="dxa" w:w="70"/>
              <w:right w:type="dxa" w:w="100"/>
            </w:tcMar>
          </w:tcPr>
          <w:p>
            <w:pPr>
              <w:jc w:val="left"/>
            </w:pPr>
            <w:r>
              <w:rPr>
                <w:b w:val="false"/>
                <w:bCs w:val="false"/>
                <w:sz w:val="19"/>
                <w:szCs w:val="19"/>
              </w:rPr>
              <w:t xml:space="preserve">Nephrology</w:t>
            </w:r>
          </w:p>
        </w:tc>
        <w:tc>
          <w:tcPr>
            <w:tcW w:type="dxa" w:w="2000"/>
            <w:shd w:fill="F2F7FC" w:val="clear"/>
            <w:tcMar>
              <w:top w:type="dxa" w:w="70"/>
              <w:left w:type="dxa" w:w="100"/>
              <w:bottom w:type="dxa" w:w="70"/>
              <w:right w:type="dxa" w:w="100"/>
            </w:tcMar>
          </w:tcPr>
          <w:p>
            <w:pPr>
              <w:jc w:val="left"/>
            </w:pPr>
            <w:r>
              <w:rPr>
                <w:b w:val="false"/>
                <w:bCs w:val="false"/>
                <w:sz w:val="19"/>
                <w:szCs w:val="19"/>
              </w:rPr>
              <w:t xml:space="preserve">1,512</w:t>
            </w:r>
          </w:p>
        </w:tc>
        <w:tc>
          <w:tcPr>
            <w:tcW w:type="dxa" w:w="2400"/>
            <w:shd w:fill="F2F7FC" w:val="clear"/>
            <w:tcMar>
              <w:top w:type="dxa" w:w="70"/>
              <w:left w:type="dxa" w:w="100"/>
              <w:bottom w:type="dxa" w:w="70"/>
              <w:right w:type="dxa" w:w="100"/>
            </w:tcMar>
          </w:tcPr>
          <w:p>
            <w:pPr>
              <w:jc w:val="left"/>
            </w:pPr>
            <w:r>
              <w:rPr>
                <w:b w:val="false"/>
                <w:bCs w:val="false"/>
                <w:sz w:val="19"/>
                <w:szCs w:val="19"/>
              </w:rPr>
              <w:t xml:space="preserve">16.2%</w:t>
            </w:r>
          </w:p>
        </w:tc>
      </w:tr>
      <w:tr>
        <w:tc>
          <w:tcPr>
            <w:tcW w:type="dxa" w:w="3400"/>
            <w:shd w:fill="FFFFFF" w:val="clear"/>
            <w:tcMar>
              <w:top w:type="dxa" w:w="70"/>
              <w:left w:type="dxa" w:w="100"/>
              <w:bottom w:type="dxa" w:w="70"/>
              <w:right w:type="dxa" w:w="100"/>
            </w:tcMar>
          </w:tcPr>
          <w:p>
            <w:pPr>
              <w:jc w:val="left"/>
            </w:pPr>
            <w:r>
              <w:rPr>
                <w:b w:val="false"/>
                <w:bCs w:val="false"/>
                <w:sz w:val="19"/>
                <w:szCs w:val="19"/>
              </w:rPr>
              <w:t xml:space="preserve">Oncology</w:t>
            </w:r>
          </w:p>
        </w:tc>
        <w:tc>
          <w:tcPr>
            <w:tcW w:type="dxa" w:w="2000"/>
            <w:shd w:fill="FFFFFF" w:val="clear"/>
            <w:tcMar>
              <w:top w:type="dxa" w:w="70"/>
              <w:left w:type="dxa" w:w="100"/>
              <w:bottom w:type="dxa" w:w="70"/>
              <w:right w:type="dxa" w:w="100"/>
            </w:tcMar>
          </w:tcPr>
          <w:p>
            <w:pPr>
              <w:jc w:val="left"/>
            </w:pPr>
            <w:r>
              <w:rPr>
                <w:b w:val="false"/>
                <w:bCs w:val="false"/>
                <w:sz w:val="19"/>
                <w:szCs w:val="19"/>
              </w:rPr>
              <w:t xml:space="preserve">323</w:t>
            </w:r>
          </w:p>
        </w:tc>
        <w:tc>
          <w:tcPr>
            <w:tcW w:type="dxa" w:w="2400"/>
            <w:shd w:fill="FFFFFF" w:val="clear"/>
            <w:tcMar>
              <w:top w:type="dxa" w:w="70"/>
              <w:left w:type="dxa" w:w="100"/>
              <w:bottom w:type="dxa" w:w="70"/>
              <w:right w:type="dxa" w:w="100"/>
            </w:tcMar>
          </w:tcPr>
          <w:p>
            <w:pPr>
              <w:jc w:val="left"/>
            </w:pPr>
            <w:r>
              <w:rPr>
                <w:b w:val="false"/>
                <w:bCs w:val="false"/>
                <w:sz w:val="19"/>
                <w:szCs w:val="19"/>
              </w:rPr>
              <w:t xml:space="preserve">20.1%</w:t>
            </w:r>
          </w:p>
        </w:tc>
      </w:tr>
    </w:tbl>
    <w:p>
      <w:pPr>
        <w:spacing w:after="120"/>
      </w:pPr>
      <w:r>
        <w:t xml:space="preserve"> </w:t>
      </w:r>
    </w:p>
    <w:p>
      <w:pPr>
        <w:spacing w:after="120"/>
      </w:pPr>
      <w:r>
        <w:t xml:space="preserve">Two specialties stand out with enough volume to be a real signal rather than noise: Oncology (n=323, 20.1%) and Nephrology (n=1,512, 16.2%) — both clinically plausible as higher-risk populations, and worth watching once the hierarchical model produces proper credible intervals.</w:t>
      </w:r>
    </w:p>
    <w:p>
      <w:pPr>
        <w:pBdr>
          <w:bottom w:val="single" w:color="2E74B5" w:sz="6" w:space="4"/>
        </w:pBdr>
        <w:spacing w:after="100" w:before="220"/>
      </w:pPr>
      <w:r>
        <w:rPr>
          <w:b/>
          <w:bCs/>
          <w:color w:val="1F3864"/>
          <w:sz w:val="24"/>
          <w:szCs w:val="24"/>
        </w:rPr>
        <w:t xml:space="preserve">3.2 Candidate Predictor Distributions</w:t>
      </w:r>
    </w:p>
    <w:p>
      <w:pPr>
        <w:spacing w:after="120"/>
      </w:pPr>
      <w:r>
        <w:t xml:space="preserve">Age, time in hospital, number of diagnoses, and number of medications were examined against readmission status.</w:t>
      </w:r>
    </w:p>
    <w:p>
      <w:pPr>
        <w:spacing w:after="60" w:before="100"/>
        <w:jc w:val="center"/>
      </w:pPr>
      <w:r>
        <w:drawing>
          <wp:inline distT="0" distB="0" distL="0" distR="0">
            <wp:extent cx="1333500" cy="99620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996203"/>
                    </a:xfrm>
                    <a:prstGeom prst="rect">
                      <a:avLst/>
                    </a:prstGeom>
                  </pic:spPr>
                </pic:pic>
              </a:graphicData>
            </a:graphic>
          </wp:inline>
        </w:drawing>
      </w:r>
    </w:p>
    <w:p>
      <w:pPr>
        <w:spacing w:after="220"/>
        <w:jc w:val="center"/>
      </w:pPr>
      <w:r>
        <w:rPr>
          <w:i/>
          <w:iCs/>
          <w:color w:val="595959"/>
          <w:sz w:val="18"/>
          <w:szCs w:val="18"/>
        </w:rPr>
        <w:t xml:space="preserve">Figure 2. Readmission patterns across age groups and three continuous predictors, split by readmission status.</w:t>
      </w:r>
    </w:p>
    <w:p>
      <w:pPr>
        <w:spacing w:after="120"/>
      </w:pPr>
      <w:r>
        <w:t xml:space="preserve">Age shows a non-monotonic pattern: lowest readmission risk for children ([0-10), 1.6%), a genuine elevated rate for [20-30) (14.5%, n=1,471 — large enough to be a real effect, not noise), then a relatively flat 10–12.5% band from [30-40) onward. The [20-30) elevation is plausibly linked to a higher share of Type 1 diabetes or less consistent follow-up care in that age band.</w:t>
      </w:r>
    </w:p>
    <w:p>
      <w:pPr>
        <w:spacing w:after="120"/>
      </w:pPr>
      <w:r>
        <w:t xml:space="preserve">Mean values for the three continuous predictors, split by readmission 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2900"/>
      </w:tblGrid>
      <w:tr>
        <w:trPr>
          <w:tblHeader/>
        </w:trPr>
        <w:tc>
          <w:tcPr>
            <w:tcW w:type="dxa" w:w="3400"/>
            <w:shd w:fill="1F3864" w:val="clear"/>
            <w:tcMar>
              <w:top w:type="dxa" w:w="70"/>
              <w:left w:type="dxa" w:w="100"/>
              <w:bottom w:type="dxa" w:w="70"/>
              <w:right w:type="dxa" w:w="100"/>
            </w:tcMar>
          </w:tcPr>
          <w:p>
            <w:pPr>
              <w:jc w:val="left"/>
            </w:pPr>
            <w:r>
              <w:rPr>
                <w:b/>
                <w:bCs/>
                <w:color w:val="FFFFFF"/>
                <w:sz w:val="19"/>
                <w:szCs w:val="19"/>
              </w:rPr>
              <w:t xml:space="preserve">Predictor</w:t>
            </w:r>
          </w:p>
        </w:tc>
        <w:tc>
          <w:tcPr>
            <w:tcW w:type="dxa" w:w="2900"/>
            <w:shd w:fill="1F3864" w:val="clear"/>
            <w:tcMar>
              <w:top w:type="dxa" w:w="70"/>
              <w:left w:type="dxa" w:w="100"/>
              <w:bottom w:type="dxa" w:w="70"/>
              <w:right w:type="dxa" w:w="100"/>
            </w:tcMar>
          </w:tcPr>
          <w:p>
            <w:pPr>
              <w:jc w:val="left"/>
            </w:pPr>
            <w:r>
              <w:rPr>
                <w:b/>
                <w:bCs/>
                <w:color w:val="FFFFFF"/>
                <w:sz w:val="19"/>
                <w:szCs w:val="19"/>
              </w:rPr>
              <w:t xml:space="preserve">Not Readmitted (mean)</w:t>
            </w:r>
          </w:p>
        </w:tc>
        <w:tc>
          <w:tcPr>
            <w:tcW w:type="dxa" w:w="2900"/>
            <w:shd w:fill="1F3864" w:val="clear"/>
            <w:tcMar>
              <w:top w:type="dxa" w:w="70"/>
              <w:left w:type="dxa" w:w="100"/>
              <w:bottom w:type="dxa" w:w="70"/>
              <w:right w:type="dxa" w:w="100"/>
            </w:tcMar>
          </w:tcPr>
          <w:p>
            <w:pPr>
              <w:jc w:val="left"/>
            </w:pPr>
            <w:r>
              <w:rPr>
                <w:b/>
                <w:bCs/>
                <w:color w:val="FFFFFF"/>
                <w:sz w:val="19"/>
                <w:szCs w:val="19"/>
              </w:rPr>
              <w:t xml:space="preserve">Readmitted &lt;30d (mean)</w:t>
            </w:r>
          </w:p>
        </w:tc>
      </w:tr>
      <w:tr>
        <w:tc>
          <w:tcPr>
            <w:tcW w:type="dxa" w:w="3400"/>
            <w:shd w:fill="F2F7FC" w:val="clear"/>
            <w:tcMar>
              <w:top w:type="dxa" w:w="70"/>
              <w:left w:type="dxa" w:w="100"/>
              <w:bottom w:type="dxa" w:w="70"/>
              <w:right w:type="dxa" w:w="100"/>
            </w:tcMar>
          </w:tcPr>
          <w:p>
            <w:pPr>
              <w:jc w:val="left"/>
            </w:pPr>
            <w:r>
              <w:rPr>
                <w:b w:val="false"/>
                <w:bCs w:val="false"/>
                <w:sz w:val="19"/>
                <w:szCs w:val="19"/>
              </w:rPr>
              <w:t xml:space="preserve">time_in_hospital (days)</w:t>
            </w:r>
          </w:p>
        </w:tc>
        <w:tc>
          <w:tcPr>
            <w:tcW w:type="dxa" w:w="2900"/>
            <w:shd w:fill="F2F7FC" w:val="clear"/>
            <w:tcMar>
              <w:top w:type="dxa" w:w="70"/>
              <w:left w:type="dxa" w:w="100"/>
              <w:bottom w:type="dxa" w:w="70"/>
              <w:right w:type="dxa" w:w="100"/>
            </w:tcMar>
          </w:tcPr>
          <w:p>
            <w:pPr>
              <w:jc w:val="left"/>
            </w:pPr>
            <w:r>
              <w:rPr>
                <w:b w:val="false"/>
                <w:bCs w:val="false"/>
                <w:sz w:val="19"/>
                <w:szCs w:val="19"/>
              </w:rPr>
              <w:t xml:space="preserve">4.37</w:t>
            </w:r>
          </w:p>
        </w:tc>
        <w:tc>
          <w:tcPr>
            <w:tcW w:type="dxa" w:w="2900"/>
            <w:shd w:fill="F2F7FC" w:val="clear"/>
            <w:tcMar>
              <w:top w:type="dxa" w:w="70"/>
              <w:left w:type="dxa" w:w="100"/>
              <w:bottom w:type="dxa" w:w="70"/>
              <w:right w:type="dxa" w:w="100"/>
            </w:tcMar>
          </w:tcPr>
          <w:p>
            <w:pPr>
              <w:jc w:val="left"/>
            </w:pPr>
            <w:r>
              <w:rPr>
                <w:b w:val="false"/>
                <w:bCs w:val="false"/>
                <w:sz w:val="19"/>
                <w:szCs w:val="19"/>
              </w:rPr>
              <w:t xml:space="preserve">4.79</w:t>
            </w:r>
          </w:p>
        </w:tc>
      </w:tr>
      <w:tr>
        <w:tc>
          <w:tcPr>
            <w:tcW w:type="dxa" w:w="3400"/>
            <w:shd w:fill="FFFFFF" w:val="clear"/>
            <w:tcMar>
              <w:top w:type="dxa" w:w="70"/>
              <w:left w:type="dxa" w:w="100"/>
              <w:bottom w:type="dxa" w:w="70"/>
              <w:right w:type="dxa" w:w="100"/>
            </w:tcMar>
          </w:tcPr>
          <w:p>
            <w:pPr>
              <w:jc w:val="left"/>
            </w:pPr>
            <w:r>
              <w:rPr>
                <w:b w:val="false"/>
                <w:bCs w:val="false"/>
                <w:sz w:val="19"/>
                <w:szCs w:val="19"/>
              </w:rPr>
              <w:t xml:space="preserve">number_diagnoses</w:t>
            </w:r>
          </w:p>
        </w:tc>
        <w:tc>
          <w:tcPr>
            <w:tcW w:type="dxa" w:w="2900"/>
            <w:shd w:fill="FFFFFF" w:val="clear"/>
            <w:tcMar>
              <w:top w:type="dxa" w:w="70"/>
              <w:left w:type="dxa" w:w="100"/>
              <w:bottom w:type="dxa" w:w="70"/>
              <w:right w:type="dxa" w:w="100"/>
            </w:tcMar>
          </w:tcPr>
          <w:p>
            <w:pPr>
              <w:jc w:val="left"/>
            </w:pPr>
            <w:r>
              <w:rPr>
                <w:b w:val="false"/>
                <w:bCs w:val="false"/>
                <w:sz w:val="19"/>
                <w:szCs w:val="19"/>
              </w:rPr>
              <w:t xml:space="preserve">7.47</w:t>
            </w:r>
          </w:p>
        </w:tc>
        <w:tc>
          <w:tcPr>
            <w:tcW w:type="dxa" w:w="2900"/>
            <w:shd w:fill="FFFFFF" w:val="clear"/>
            <w:tcMar>
              <w:top w:type="dxa" w:w="70"/>
              <w:left w:type="dxa" w:w="100"/>
              <w:bottom w:type="dxa" w:w="70"/>
              <w:right w:type="dxa" w:w="100"/>
            </w:tcMar>
          </w:tcPr>
          <w:p>
            <w:pPr>
              <w:jc w:val="left"/>
            </w:pPr>
            <w:r>
              <w:rPr>
                <w:b w:val="false"/>
                <w:bCs w:val="false"/>
                <w:sz w:val="19"/>
                <w:szCs w:val="19"/>
              </w:rPr>
              <w:t xml:space="preserve">7.75</w:t>
            </w:r>
          </w:p>
        </w:tc>
      </w:tr>
      <w:tr>
        <w:tc>
          <w:tcPr>
            <w:tcW w:type="dxa" w:w="3400"/>
            <w:shd w:fill="F2F7FC" w:val="clear"/>
            <w:tcMar>
              <w:top w:type="dxa" w:w="70"/>
              <w:left w:type="dxa" w:w="100"/>
              <w:bottom w:type="dxa" w:w="70"/>
              <w:right w:type="dxa" w:w="100"/>
            </w:tcMar>
          </w:tcPr>
          <w:p>
            <w:pPr>
              <w:jc w:val="left"/>
            </w:pPr>
            <w:r>
              <w:rPr>
                <w:b w:val="false"/>
                <w:bCs w:val="false"/>
                <w:sz w:val="19"/>
                <w:szCs w:val="19"/>
              </w:rPr>
              <w:t xml:space="preserve">num_medications</w:t>
            </w:r>
          </w:p>
        </w:tc>
        <w:tc>
          <w:tcPr>
            <w:tcW w:type="dxa" w:w="2900"/>
            <w:shd w:fill="F2F7FC" w:val="clear"/>
            <w:tcMar>
              <w:top w:type="dxa" w:w="70"/>
              <w:left w:type="dxa" w:w="100"/>
              <w:bottom w:type="dxa" w:w="70"/>
              <w:right w:type="dxa" w:w="100"/>
            </w:tcMar>
          </w:tcPr>
          <w:p>
            <w:pPr>
              <w:jc w:val="left"/>
            </w:pPr>
            <w:r>
              <w:rPr>
                <w:b w:val="false"/>
                <w:bCs w:val="false"/>
                <w:sz w:val="19"/>
                <w:szCs w:val="19"/>
              </w:rPr>
              <w:t xml:space="preserve">15.96</w:t>
            </w:r>
          </w:p>
        </w:tc>
        <w:tc>
          <w:tcPr>
            <w:tcW w:type="dxa" w:w="2900"/>
            <w:shd w:fill="F2F7FC" w:val="clear"/>
            <w:tcMar>
              <w:top w:type="dxa" w:w="70"/>
              <w:left w:type="dxa" w:w="100"/>
              <w:bottom w:type="dxa" w:w="70"/>
              <w:right w:type="dxa" w:w="100"/>
            </w:tcMar>
          </w:tcPr>
          <w:p>
            <w:pPr>
              <w:jc w:val="left"/>
            </w:pPr>
            <w:r>
              <w:rPr>
                <w:b w:val="false"/>
                <w:bCs w:val="false"/>
                <w:sz w:val="19"/>
                <w:szCs w:val="19"/>
              </w:rPr>
              <w:t xml:space="preserve">16.98</w:t>
            </w:r>
          </w:p>
        </w:tc>
      </w:tr>
    </w:tbl>
    <w:p>
      <w:pPr>
        <w:spacing w:after="120"/>
      </w:pPr>
      <w:r>
        <w:t xml:space="preserve"> </w:t>
      </w:r>
    </w:p>
    <w:p>
      <w:pPr>
        <w:pStyle w:val="ListParagraph"/>
        <w:numPr>
          <w:ilvl w:val="0"/>
          <w:numId w:val="2"/>
        </w:numPr>
        <w:spacing w:after="60"/>
      </w:pPr>
      <w:r>
        <w:rPr>
          <w:b w:val="false"/>
          <w:bCs w:val="false"/>
        </w:rPr>
        <w:t xml:space="preserve">time_in_hospital: modest but consistent difference (4.79 vs. 4.37 days)</w:t>
      </w:r>
    </w:p>
    <w:p>
      <w:pPr>
        <w:pStyle w:val="ListParagraph"/>
        <w:numPr>
          <w:ilvl w:val="0"/>
          <w:numId w:val="2"/>
        </w:numPr>
        <w:spacing w:after="60"/>
      </w:pPr>
      <w:r>
        <w:rPr>
          <w:b w:val="false"/>
          <w:bCs w:val="false"/>
        </w:rPr>
        <w:t xml:space="preserve">number_diagnoses: clearest signal of the three — readmitted patients are disproportionately concentrated at the maximum diagnosis count (67% vs. 60% at 9 diagnoses)</w:t>
      </w:r>
    </w:p>
    <w:p>
      <w:pPr>
        <w:pStyle w:val="ListParagraph"/>
        <w:numPr>
          <w:ilvl w:val="0"/>
          <w:numId w:val="2"/>
        </w:numPr>
        <w:spacing w:after="60"/>
      </w:pPr>
      <w:r>
        <w:rPr>
          <w:b w:val="false"/>
          <w:bCs w:val="false"/>
        </w:rPr>
        <w:t xml:space="preserve">num_medications: subtle rightward shift for readmitted patients (16.98 vs. 15.96)</w:t>
      </w:r>
    </w:p>
    <w:p>
      <w:pPr>
        <w:spacing w:after="120"/>
      </w:pPr>
      <w:r>
        <w:t xml:space="preserve">number_diagnoses and age (including the [20-30) elevation) look like the strongest candidate fixed effects; time_in_hospital and num_medications are weaker but still worth including.</w:t>
      </w:r>
    </w:p>
    <w:p>
      <w:pPr>
        <w:pBdr>
          <w:bottom w:val="single" w:color="2E74B5" w:sz="6" w:space="4"/>
        </w:pBdr>
        <w:spacing w:after="100" w:before="220"/>
      </w:pPr>
      <w:r>
        <w:rPr>
          <w:b/>
          <w:bCs/>
          <w:color w:val="1F3864"/>
          <w:sz w:val="24"/>
          <w:szCs w:val="24"/>
        </w:rPr>
        <w:t xml:space="preserve">3.3 Correlation Between Continuous Predictors</w:t>
      </w:r>
    </w:p>
    <w:p>
      <w:pPr>
        <w:spacing w:after="120"/>
      </w:pPr>
      <w:r>
        <w:t xml:space="preserve">Checked for multicollinearity among the five continuous predictors under consideration before finalizing the fixed-effects specification.</w:t>
      </w:r>
    </w:p>
    <w:p>
      <w:pPr>
        <w:spacing w:after="60" w:before="100"/>
        <w:jc w:val="center"/>
      </w:pPr>
      <w:r>
        <w:drawing>
          <wp:inline distT="0" distB="0" distL="0" distR="0">
            <wp:extent cx="778809" cy="6443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78809" cy="644338"/>
                    </a:xfrm>
                    <a:prstGeom prst="rect">
                      <a:avLst/>
                    </a:prstGeom>
                  </pic:spPr>
                </pic:pic>
              </a:graphicData>
            </a:graphic>
          </wp:inline>
        </w:drawing>
      </w:r>
    </w:p>
    <w:p>
      <w:pPr>
        <w:spacing w:after="220"/>
        <w:jc w:val="center"/>
      </w:pPr>
      <w:r>
        <w:rPr>
          <w:i/>
          <w:iCs/>
          <w:color w:val="595959"/>
          <w:sz w:val="18"/>
          <w:szCs w:val="18"/>
        </w:rPr>
        <w:t xml:space="preserve">Figure 3. Correlation matrix across the five continuous predictors.</w:t>
      </w:r>
    </w:p>
    <w:p>
      <w:pPr>
        <w:spacing w:after="120"/>
      </w:pPr>
      <w:r>
        <w:t xml:space="preserve">No serious multicollinearity: the highest correlation is time_in_hospital with num_medications at 0.46 (moderate, expected — longer stays involve more medications), well below the range that would threaten stable coefficient estimates. All five continuous predictors can be safely included together in the model.</w:t>
      </w:r>
    </w:p>
    <w:p>
      <w:pPr>
        <w:pStyle w:val="Heading1"/>
        <w:spacing w:after="140" w:before="300"/>
      </w:pPr>
      <w:r>
        <w:t xml:space="preserve">4. Key Takeaways</w:t>
      </w:r>
    </w:p>
    <w:p>
      <w:pPr>
        <w:pStyle w:val="ListParagraph"/>
        <w:numPr>
          <w:ilvl w:val="0"/>
          <w:numId w:val="2"/>
        </w:numPr>
        <w:spacing w:after="60"/>
      </w:pPr>
      <w:r>
        <w:rPr>
          <w:b w:val="false"/>
          <w:bCs w:val="false"/>
        </w:rPr>
        <w:t xml:space="preserve">Final dataset: 96,436 rows × 48 columns, fully cleaned, zero missing values.</w:t>
      </w:r>
    </w:p>
    <w:p>
      <w:pPr>
        <w:pStyle w:val="ListParagraph"/>
        <w:numPr>
          <w:ilvl w:val="0"/>
          <w:numId w:val="2"/>
        </w:numPr>
        <w:spacing w:after="60"/>
      </w:pPr>
      <w:r>
        <w:rPr>
          <w:b w:val="false"/>
          <w:bCs w:val="false"/>
        </w:rPr>
        <w:t xml:space="preserve">Grouping variable (medical_specialty, 73 categories) shows exactly the small-n noise / large-n stability pattern that motivates a hierarchical model over no-pooling or complete-pooling alternatives.</w:t>
      </w:r>
    </w:p>
    <w:p>
      <w:pPr>
        <w:pStyle w:val="ListParagraph"/>
        <w:numPr>
          <w:ilvl w:val="0"/>
          <w:numId w:val="2"/>
        </w:numPr>
        <w:spacing w:after="60"/>
      </w:pPr>
      <w:r>
        <w:rPr>
          <w:b w:val="false"/>
          <w:bCs w:val="false"/>
        </w:rPr>
        <w:t xml:space="preserve">Target is imbalanced (11.5% positive class) — model evaluation will need to look beyond raw accuracy.</w:t>
      </w:r>
    </w:p>
    <w:p>
      <w:pPr>
        <w:pStyle w:val="ListParagraph"/>
        <w:numPr>
          <w:ilvl w:val="0"/>
          <w:numId w:val="2"/>
        </w:numPr>
        <w:spacing w:after="60"/>
      </w:pPr>
      <w:r>
        <w:rPr>
          <w:b w:val="false"/>
          <w:bCs w:val="false"/>
        </w:rPr>
        <w:t xml:space="preserve">Strongest candidate fixed effects: age, number_diagnoses; weaker but retained: time_in_hospital, num_medications, num_lab_procedures, num_procedures.</w:t>
      </w:r>
    </w:p>
    <w:p>
      <w:pPr>
        <w:pStyle w:val="ListParagraph"/>
        <w:numPr>
          <w:ilvl w:val="0"/>
          <w:numId w:val="2"/>
        </w:numPr>
        <w:spacing w:after="60"/>
      </w:pPr>
      <w:r>
        <w:rPr>
          <w:b w:val="false"/>
          <w:bCs w:val="false"/>
        </w:rPr>
        <w:t xml:space="preserve">Documented limitation: 30% of rows are repeat encounters from returning patients, introducing some non-independence between rows — retained for sample size, noted for the final write-up's limitations section.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07402b3ee4d6b5a84ca3e8f08a1272bc0f262c.png"/><Relationship Id="rId8" Type="http://schemas.openxmlformats.org/officeDocument/2006/relationships/image" Target="media/407ba6eb2e2cb4d266fd25e6923cc27980517b83.png"/><Relationship Id="rId9" Type="http://schemas.openxmlformats.org/officeDocument/2006/relationships/image" Target="media/72ea9caafdd97424ea4081f7b87a6ba3aac76c0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2026-08-01T15:38:13.874Z</dcterms:created>
  <dcterms:modified xsi:type="dcterms:W3CDTF">2026-08-01T15:38:13.889Z</dcterms:modified>
</cp:coreProperties>
</file>

<file path=docProps/custom.xml><?xml version="1.0" encoding="utf-8"?>
<Properties xmlns="http://schemas.openxmlformats.org/officeDocument/2006/custom-properties" xmlns:vt="http://schemas.openxmlformats.org/officeDocument/2006/docPropsVTypes"/>
</file>