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Project Workflow</w:t>
      </w:r>
    </w:p>
    <w:p>
      <w:pPr>
        <w:pBdr>
          <w:bottom w:val="single" w:color="2E74B5" w:sz="8" w:space="6"/>
        </w:pBdr>
        <w:spacing w:after="260"/>
      </w:pPr>
      <w:r>
        <w:rPr>
          <w:i/>
          <w:iCs/>
          <w:color w:val="595959"/>
          <w:sz w:val="26"/>
          <w:szCs w:val="26"/>
        </w:rPr>
        <w:t xml:space="preserve">Bayesian Inference Group Project — what to expect at each stage</w:t>
      </w:r>
    </w:p>
    <w:p>
      <w:pPr>
        <w:pStyle w:val="Heading1"/>
        <w:spacing w:after="140" w:before="280"/>
      </w:pPr>
      <w:r>
        <w:t xml:space="preserve">Setup — already decided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80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</w:tr>
      <w:tr>
        <w:tc>
          <w:tcPr>
            <w:tcW w:type="dxa" w:w="3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Topic</w:t>
            </w:r>
          </w:p>
        </w:tc>
        <w:tc>
          <w:tcPr>
            <w:tcW w:type="dxa" w:w="6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Hierarchical Bayesian Models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Dataset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Diabetes 130-US Hospitals (1999–2008)</w:t>
            </w:r>
          </w:p>
        </w:tc>
      </w:tr>
      <w:tr>
        <w:tc>
          <w:tcPr>
            <w:tcW w:type="dxa" w:w="3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Grouping variable</w:t>
            </w:r>
          </w:p>
        </w:tc>
        <w:tc>
          <w:tcPr>
            <w:tcW w:type="dxa" w:w="6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medical_specialty (hospital ID not available in this dataset)</w:t>
            </w:r>
          </w:p>
        </w:tc>
      </w:tr>
      <w:tr>
        <w:tc>
          <w:tcPr>
            <w:tcW w:type="dxa" w:w="3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Target</w:t>
            </w:r>
          </w:p>
        </w:tc>
        <w:tc>
          <w:tcPr>
            <w:tcW w:type="dxa" w:w="68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Readmitted within 30 days (binary: yes/no)</w:t>
            </w:r>
          </w:p>
        </w:tc>
      </w:tr>
      <w:tr>
        <w:tc>
          <w:tcPr>
            <w:tcW w:type="dxa" w:w="30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Repo structure</w:t>
            </w:r>
          </w:p>
        </w:tc>
        <w:tc>
          <w:tcPr>
            <w:tcW w:type="dxa" w:w="6800"/>
            <w:shd w:fill="F2F7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data/, notebooks/, slides/, docs/</w:t>
            </w:r>
          </w:p>
        </w:tc>
      </w:tr>
    </w:tbl>
    <w:p>
      <w:pPr>
        <w:spacing w:after="120"/>
      </w:pPr>
      <w:r>
        <w:t xml:space="preserve"> </w:t>
      </w:r>
    </w:p>
    <w:p>
      <w:pPr>
        <w:pStyle w:val="Heading1"/>
        <w:spacing w:after="140" w:before="280"/>
      </w:pPr>
      <w:r>
        <w:t xml:space="preserve">Pipeline</w:t>
      </w:r>
    </w:p>
    <w:p>
      <w:pPr>
        <w:spacing w:after="120"/>
      </w:pPr>
      <w:r>
        <w:t xml:space="preserve">Seven stages, roughly in order. Some stages can run in parallel once data prep is done.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1 — Data prep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 raw CSV, clean '?' placeholders as missing values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Drop the weight column (too sparse to use)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Decide handling for missing medical_specialty / payer_code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Collapse medical_specialty into a manageable number of groups (bucket rare specialties as 'Other')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Binarize target: readmitted within 30 days = 1, else 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Resolve duplicate patient_nbr rows (one encounter per patient, or justify keeping all)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2 — Exploratory data analysis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Readmission rate overall and broken down by specialty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candidate predictors: age, time_in_hospital, number of diagnoses, number of medications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3 — Priors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Specify weakly informative priors for fixed effects and group-level (specialty) variance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Pick a second candidate prior for a later sensitivity comparison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4 — Model fitting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Fit three models: complete pooling (ignore specialty), no pooling (separate model per specialty), partial pooling (hierarchical)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Tooling: PyMC or brms/Stan — get a toy example running before the real fit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5 — Diagnostics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Trace plots, R-hat, effective sample size for the hierarchical fit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with the second prior and compare posteriors (sensitivity analysis)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6 — Model comparison &amp; 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WAIC/LOO across the three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 specialty-level shrinkage into a real finding: which specialties look riskier, and how much is signal vs. noise the model correctly shrinks</w:t>
      </w:r>
    </w:p>
    <w:p>
      <w:pPr>
        <w:pBdr>
          <w:bottom w:val="single" w:color="2E74B5" w:sz="6" w:space="4"/>
        </w:pBdr>
        <w:spacing w:after="100" w:before="220"/>
      </w:pPr>
      <w:r>
        <w:rPr>
          <w:b/>
          <w:bCs/>
          <w:color w:val="1F3864"/>
          <w:sz w:val="24"/>
          <w:szCs w:val="24"/>
        </w:rPr>
        <w:t xml:space="preserve">Stage 7 — Presentation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Slide deck: motivation → data → priors → method/diagnostics → results → interpretation → limitations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12–15 minute run-through, 5 minutes of Q&amp;A prep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2026-08-01T08:34:52.215Z</dcterms:created>
  <dcterms:modified xsi:type="dcterms:W3CDTF">2026-08-01T08:34:52.230Z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