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Data Cleaning and Exploratory Data Analysis Report</w:t>
      </w:r>
    </w:p>
    <w:p>
      <w:pPr>
        <w:spacing w:after="60"/>
        <w:jc w:val="center"/>
      </w:pPr>
      <w:r>
        <w:rPr>
          <w:color w:val="444444"/>
          <w:sz w:val="24"/>
          <w:szCs w:val="24"/>
        </w:rPr>
        <w:t xml:space="preserve">Multilingual PSA Translation Project</w:t>
      </w:r>
    </w:p>
    <w:p>
      <w:pPr>
        <w:spacing w:after="400"/>
        <w:jc w:val="center"/>
      </w:pPr>
      <w:r>
        <w:rPr>
          <w:i/>
          <w:iCs/>
          <w:color w:val="666666"/>
          <w:sz w:val="20"/>
          <w:szCs w:val="20"/>
        </w:rPr>
        <w:t xml:space="preserve">Tracks covered: Ekegusii  |  Dholuo &amp; Somali</w:t>
      </w:r>
    </w:p>
    <w:p>
      <w:pPr>
        <w:pStyle w:val="Heading1"/>
        <w:spacing w:after="160" w:before="320"/>
      </w:pPr>
      <w:r>
        <w:t xml:space="preserve">1. Introduction</w:t>
      </w:r>
    </w:p>
    <w:p>
      <w:pPr>
        <w:spacing w:after="160" w:line="276"/>
      </w:pPr>
      <w:r>
        <w:t xml:space="preserve">This report documents the data cleaning and exploratory data analysis (EDA) stage of the multilingual Public Service Announcement (PSA) translation project, covering two parallel notebooks: preprocessing_eda_ekegusii.ipynb (English/Kiswahili/Ekegusii, run in Google Colab) and dholuo_somali_preprocessing_eda.ipynb (English/Kiswahili/Dholuo/Somali, run locally). Both notebooks work from raw, multi-language parallel PSA corpora and take them through data-quality auditing, text normalization, code-switching analysis, tokenization diagnostics, and exploratory analysis, in preparation for the model fine-tuning stage.</w:t>
      </w:r>
    </w:p>
    <w:p>
      <w:pPr>
        <w:spacing w:after="160" w:line="276"/>
      </w:pPr>
      <w:r>
        <w:t xml:space="preserve">The Ekegusii track was completed first and its findings and cleaning patterns (mojibake repair strategy, boilerplate detection, glossary construction) were explicitly reused and adapted as a baseline methodology for the Dholuo/Somali track, so the two are presented together here as a single, comparable body of work rather than two unrelated reports.</w:t>
      </w:r>
    </w:p>
    <w:p>
      <w:pPr>
        <w:spacing w:after="160" w:line="276"/>
      </w:pPr>
      <w:r>
        <w:t xml:space="preserve">This report is organized in three parts: Part A covers the Ekegusii track end-to-end, Part B covers the Dholuo/Somali track end-to-end, and a closing section compares the two tracks and consolidates limitations, conclusions, and next steps.</w:t>
      </w:r>
    </w:p>
    <w:p>
      <w:pPr>
        <w:pStyle w:val="Heading1"/>
        <w:spacing w:after="160" w:before="320"/>
      </w:pPr>
      <w:r>
        <w:t xml:space="preserve">Part A — Ekegusii Track</w:t>
      </w:r>
    </w:p>
    <w:p>
      <w:pPr>
        <w:pStyle w:val="Heading2"/>
        <w:spacing w:after="120" w:before="260"/>
      </w:pPr>
      <w:r>
        <w:t xml:space="preserve">A.1 Dataset Overview and Initial Inspection</w:t>
      </w:r>
    </w:p>
    <w:p>
      <w:pPr>
        <w:spacing w:after="160" w:line="276"/>
      </w:pPr>
      <w:r>
        <w:t xml:space="preserve">The raw dataset (psa_dataset_ekegusii_with_kiswahili.csv) contains 5,144 rows across 7 columns: PSA_Id, Domain, English, Kiswahili, Ekegusii, Class, and Source. Initial inspection found no missing values in any column, no fully duplicated rows, and no duplicate PSA_Id or English values — every English source sentence is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2F5496" w:val="clear"/>
            <w:tcMar>
              <w:top w:type="dxa" w:w="80"/>
              <w:left w:type="dxa" w:w="100"/>
              <w:bottom w:type="dxa" w:w="80"/>
              <w:right w:type="dxa" w:w="100"/>
            </w:tcMar>
          </w:tcPr>
          <w:p>
            <w:pPr>
              <w:jc w:val="left"/>
            </w:pPr>
            <w:r>
              <w:rPr>
                <w:b/>
                <w:bCs/>
                <w:color w:val="FFFFFF"/>
                <w:sz w:val="20"/>
                <w:szCs w:val="20"/>
              </w:rPr>
              <w:t xml:space="preserve">Field</w:t>
            </w:r>
          </w:p>
        </w:tc>
        <w:tc>
          <w:tcPr>
            <w:tcW w:type="dxa" w:w="6560"/>
            <w:shd w:fill="2F5496" w:val="clear"/>
            <w:tcMar>
              <w:top w:type="dxa" w:w="80"/>
              <w:left w:type="dxa" w:w="100"/>
              <w:bottom w:type="dxa" w:w="80"/>
              <w:right w:type="dxa" w:w="100"/>
            </w:tcMar>
          </w:tcPr>
          <w:p>
            <w:pPr>
              <w:jc w:val="center"/>
            </w:pPr>
            <w:r>
              <w:rPr>
                <w:b/>
                <w:bCs/>
                <w:color w:val="FFFFFF"/>
                <w:sz w:val="20"/>
                <w:szCs w:val="20"/>
              </w:rPr>
              <w:t xml:space="preserve">Finding</w:t>
            </w:r>
          </w:p>
        </w:tc>
      </w:tr>
      <w:tr>
        <w:tc>
          <w:tcPr>
            <w:tcW w:type="dxa" w:w="2800"/>
            <w:tcMar>
              <w:top w:type="dxa" w:w="80"/>
              <w:left w:type="dxa" w:w="100"/>
              <w:bottom w:type="dxa" w:w="80"/>
              <w:right w:type="dxa" w:w="100"/>
            </w:tcMar>
          </w:tcPr>
          <w:p>
            <w:pPr>
              <w:jc w:val="left"/>
            </w:pPr>
            <w:r>
              <w:rPr>
                <w:b w:val="false"/>
                <w:bCs w:val="false"/>
                <w:color w:val="000000"/>
                <w:sz w:val="20"/>
                <w:szCs w:val="20"/>
              </w:rPr>
              <w:t xml:space="preserve">Domain distribution</w:t>
            </w:r>
          </w:p>
        </w:tc>
        <w:tc>
          <w:tcPr>
            <w:tcW w:type="dxa" w:w="6560"/>
            <w:tcMar>
              <w:top w:type="dxa" w:w="80"/>
              <w:left w:type="dxa" w:w="100"/>
              <w:bottom w:type="dxa" w:w="80"/>
              <w:right w:type="dxa" w:w="100"/>
            </w:tcMar>
          </w:tcPr>
          <w:p>
            <w:pPr>
              <w:jc w:val="center"/>
            </w:pPr>
            <w:r>
              <w:rPr>
                <w:b w:val="false"/>
                <w:bCs w:val="false"/>
                <w:color w:val="000000"/>
                <w:sz w:val="20"/>
                <w:szCs w:val="20"/>
              </w:rPr>
              <w:t xml:space="preserve">Education 1,429; Health 1,144; Agriculture 1,035; Security 1,012; Governance 524</w:t>
            </w:r>
          </w:p>
        </w:tc>
      </w:tr>
      <w:tr>
        <w:tc>
          <w:tcPr>
            <w:tcW w:type="dxa" w:w="2800"/>
            <w:shd w:fill="F2F2F2" w:val="clear"/>
            <w:tcMar>
              <w:top w:type="dxa" w:w="80"/>
              <w:left w:type="dxa" w:w="100"/>
              <w:bottom w:type="dxa" w:w="80"/>
              <w:right w:type="dxa" w:w="100"/>
            </w:tcMar>
          </w:tcPr>
          <w:p>
            <w:pPr>
              <w:jc w:val="left"/>
            </w:pPr>
            <w:r>
              <w:rPr>
                <w:b w:val="false"/>
                <w:bCs w:val="false"/>
                <w:color w:val="000000"/>
                <w:sz w:val="20"/>
                <w:szCs w:val="20"/>
              </w:rPr>
              <w:t xml:space="preserve">Class / Source</w:t>
            </w:r>
          </w:p>
        </w:tc>
        <w:tc>
          <w:tcPr>
            <w:tcW w:type="dxa" w:w="6560"/>
            <w:shd w:fill="F2F2F2" w:val="clear"/>
            <w:tcMar>
              <w:top w:type="dxa" w:w="80"/>
              <w:left w:type="dxa" w:w="100"/>
              <w:bottom w:type="dxa" w:w="80"/>
              <w:right w:type="dxa" w:w="100"/>
            </w:tcMar>
          </w:tcPr>
          <w:p>
            <w:pPr>
              <w:jc w:val="center"/>
            </w:pPr>
            <w:r>
              <w:rPr>
                <w:b w:val="false"/>
                <w:bCs w:val="false"/>
                <w:color w:val="000000"/>
                <w:sz w:val="20"/>
                <w:szCs w:val="20"/>
              </w:rPr>
              <w:t xml:space="preserve">PSA / original_baseline_dataset: 2,874 rows; General / professor_provided_ekegusii_corpus: 2,270 rows</w:t>
            </w:r>
          </w:p>
        </w:tc>
      </w:tr>
      <w:tr>
        <w:tc>
          <w:tcPr>
            <w:tcW w:type="dxa" w:w="2800"/>
            <w:tcMar>
              <w:top w:type="dxa" w:w="80"/>
              <w:left w:type="dxa" w:w="100"/>
              <w:bottom w:type="dxa" w:w="80"/>
              <w:right w:type="dxa" w:w="100"/>
            </w:tcMar>
          </w:tcPr>
          <w:p>
            <w:pPr>
              <w:jc w:val="left"/>
            </w:pPr>
            <w:r>
              <w:rPr>
                <w:b w:val="false"/>
                <w:bCs w:val="false"/>
                <w:color w:val="000000"/>
                <w:sz w:val="20"/>
                <w:szCs w:val="20"/>
              </w:rPr>
              <w:t xml:space="preserve">Duplicate Ekegusii translations</w:t>
            </w:r>
          </w:p>
        </w:tc>
        <w:tc>
          <w:tcPr>
            <w:tcW w:type="dxa" w:w="6560"/>
            <w:tcMar>
              <w:top w:type="dxa" w:w="80"/>
              <w:left w:type="dxa" w:w="100"/>
              <w:bottom w:type="dxa" w:w="80"/>
              <w:right w:type="dxa" w:w="100"/>
            </w:tcMar>
          </w:tcPr>
          <w:p>
            <w:pPr>
              <w:jc w:val="center"/>
            </w:pPr>
            <w:r>
              <w:rPr>
                <w:b w:val="false"/>
                <w:bCs w:val="false"/>
                <w:color w:val="000000"/>
                <w:sz w:val="20"/>
                <w:szCs w:val="20"/>
              </w:rPr>
              <w:t xml:space="preserve">815 rows (786 distinct Ekegusii strings shared across 2+ English sentences)</w:t>
            </w:r>
          </w:p>
        </w:tc>
      </w:tr>
    </w:tbl>
    <w:p>
      <w:pPr>
        <w:spacing w:after="220" w:before="60"/>
      </w:pPr>
      <w:r>
        <w:rPr>
          <w:i/>
          <w:iCs/>
          <w:color w:val="555555"/>
          <w:sz w:val="20"/>
          <w:szCs w:val="20"/>
        </w:rPr>
        <w:t xml:space="preserve">Table A1. Initial inspection summary, Ekegusii dataset.</w:t>
      </w:r>
    </w:p>
    <w:p>
      <w:pPr>
        <w:spacing w:after="160" w:line="276"/>
      </w:pPr>
      <w:r>
        <w:t xml:space="preserve">Governance is noticeably smaller than the other four domains (roughly half the size of the largest), a domain imbalance carried forward as a known issue requiring stratified sampling at split time.</w:t>
      </w:r>
    </w:p>
    <w:p>
      <w:pPr>
        <w:pStyle w:val="Heading2"/>
        <w:spacing w:after="120" w:before="260"/>
      </w:pPr>
      <w:r>
        <w:t xml:space="preserve">A.2 Duplicate-Ekegusii Investigation</w:t>
      </w:r>
    </w:p>
    <w:p>
      <w:pPr>
        <w:spacing w:after="160" w:line="276"/>
      </w:pPr>
      <w:r>
        <w:t xml:space="preserve">815 duplicate Ekegusii strings meant multiple distinct English sentences had collapsed onto an identical Ekegusii translation. Manual inspection of example groups showed this had at least two distinct causes: legitimate paraphrase reuse (near-duplicate English sentences sharing one correct translation) and genuine mismatches (unrelated English sentences, e.g. urban gardening vs. cattle vaccination, incorrectly sharing one Ekegusii string).</w:t>
      </w:r>
    </w:p>
    <w:p>
      <w:pPr>
        <w:spacing w:after="160" w:line="276"/>
      </w:pPr>
      <w:r>
        <w:t xml:space="preserve">To separate the two causes quantitatively, average pairwise Jaccard word-overlap was computed across the English sentences within each duplicate-Ekegusii group. Groups with overlap below 0.15 were treated as likely genuine mismatches rather than paraphrase reuse: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shd w:fill="2F5496" w:val="clear"/>
            <w:tcMar>
              <w:top w:type="dxa" w:w="80"/>
              <w:left w:type="dxa" w:w="100"/>
              <w:bottom w:type="dxa" w:w="80"/>
              <w:right w:type="dxa" w:w="100"/>
            </w:tcMar>
          </w:tcPr>
          <w:p>
            <w:pPr>
              <w:jc w:val="left"/>
            </w:pPr>
            <w:r>
              <w:rPr>
                <w:b/>
                <w:bCs/>
                <w:color w:val="FFFFFF"/>
                <w:sz w:val="20"/>
                <w:szCs w:val="20"/>
              </w:rPr>
              <w:t xml:space="preserve">Metric</w:t>
            </w:r>
          </w:p>
        </w:tc>
        <w:tc>
          <w:tcPr>
            <w:tcW w:type="dxa" w:w="3600"/>
            <w:shd w:fill="2F5496" w:val="clear"/>
            <w:tcMar>
              <w:top w:type="dxa" w:w="80"/>
              <w:left w:type="dxa" w:w="100"/>
              <w:bottom w:type="dxa" w:w="80"/>
              <w:right w:type="dxa" w:w="100"/>
            </w:tcMar>
          </w:tcPr>
          <w:p>
            <w:pPr>
              <w:jc w:val="center"/>
            </w:pPr>
            <w:r>
              <w:rPr>
                <w:b/>
                <w:bCs/>
                <w:color w:val="FFFFFF"/>
                <w:sz w:val="20"/>
                <w:szCs w:val="20"/>
              </w:rPr>
              <w:t xml:space="preserve">Value</w:t>
            </w:r>
          </w:p>
        </w:tc>
      </w:tr>
      <w:tr>
        <w:tc>
          <w:tcPr>
            <w:tcW w:type="dxa" w:w="5760"/>
            <w:tcMar>
              <w:top w:type="dxa" w:w="80"/>
              <w:left w:type="dxa" w:w="100"/>
              <w:bottom w:type="dxa" w:w="80"/>
              <w:right w:type="dxa" w:w="100"/>
            </w:tcMar>
          </w:tcPr>
          <w:p>
            <w:pPr>
              <w:jc w:val="left"/>
            </w:pPr>
            <w:r>
              <w:rPr>
                <w:b w:val="false"/>
                <w:bCs w:val="false"/>
                <w:color w:val="000000"/>
                <w:sz w:val="20"/>
                <w:szCs w:val="20"/>
              </w:rPr>
              <w:t xml:space="preserve">Distinct duplicated Ekegusii strings</w:t>
            </w:r>
          </w:p>
        </w:tc>
        <w:tc>
          <w:tcPr>
            <w:tcW w:type="dxa" w:w="3600"/>
            <w:tcMar>
              <w:top w:type="dxa" w:w="80"/>
              <w:left w:type="dxa" w:w="100"/>
              <w:bottom w:type="dxa" w:w="80"/>
              <w:right w:type="dxa" w:w="100"/>
            </w:tcMar>
          </w:tcPr>
          <w:p>
            <w:pPr>
              <w:jc w:val="center"/>
            </w:pPr>
            <w:r>
              <w:rPr>
                <w:b w:val="false"/>
                <w:bCs w:val="false"/>
                <w:color w:val="000000"/>
                <w:sz w:val="20"/>
                <w:szCs w:val="20"/>
              </w:rPr>
              <w:t xml:space="preserve">786</w:t>
            </w:r>
          </w:p>
        </w:tc>
      </w:tr>
      <w:tr>
        <w:tc>
          <w:tcPr>
            <w:tcW w:type="dxa" w:w="5760"/>
            <w:shd w:fill="F2F2F2" w:val="clear"/>
            <w:tcMar>
              <w:top w:type="dxa" w:w="80"/>
              <w:left w:type="dxa" w:w="100"/>
              <w:bottom w:type="dxa" w:w="80"/>
              <w:right w:type="dxa" w:w="100"/>
            </w:tcMar>
          </w:tcPr>
          <w:p>
            <w:pPr>
              <w:jc w:val="left"/>
            </w:pPr>
            <w:r>
              <w:rPr>
                <w:b w:val="false"/>
                <w:bCs w:val="false"/>
                <w:color w:val="000000"/>
                <w:sz w:val="20"/>
                <w:szCs w:val="20"/>
              </w:rPr>
              <w:t xml:space="preserve">Total rows involved in duplication</w:t>
            </w:r>
          </w:p>
        </w:tc>
        <w:tc>
          <w:tcPr>
            <w:tcW w:type="dxa" w:w="3600"/>
            <w:shd w:fill="F2F2F2" w:val="clear"/>
            <w:tcMar>
              <w:top w:type="dxa" w:w="80"/>
              <w:left w:type="dxa" w:w="100"/>
              <w:bottom w:type="dxa" w:w="80"/>
              <w:right w:type="dxa" w:w="100"/>
            </w:tcMar>
          </w:tcPr>
          <w:p>
            <w:pPr>
              <w:jc w:val="center"/>
            </w:pPr>
            <w:r>
              <w:rPr>
                <w:b w:val="false"/>
                <w:bCs w:val="false"/>
                <w:color w:val="000000"/>
                <w:sz w:val="20"/>
                <w:szCs w:val="20"/>
              </w:rPr>
              <w:t xml:space="preserve">1,601 (~31% of dataset)</w:t>
            </w:r>
          </w:p>
        </w:tc>
      </w:tr>
      <w:tr>
        <w:tc>
          <w:tcPr>
            <w:tcW w:type="dxa" w:w="5760"/>
            <w:tcMar>
              <w:top w:type="dxa" w:w="80"/>
              <w:left w:type="dxa" w:w="100"/>
              <w:bottom w:type="dxa" w:w="80"/>
              <w:right w:type="dxa" w:w="100"/>
            </w:tcMar>
          </w:tcPr>
          <w:p>
            <w:pPr>
              <w:jc w:val="left"/>
            </w:pPr>
            <w:r>
              <w:rPr>
                <w:b w:val="false"/>
                <w:bCs w:val="false"/>
                <w:color w:val="000000"/>
                <w:sz w:val="20"/>
                <w:szCs w:val="20"/>
              </w:rPr>
              <w:t xml:space="preserve">Groups with near-zero English overlap (likely mismatches)</w:t>
            </w:r>
          </w:p>
        </w:tc>
        <w:tc>
          <w:tcPr>
            <w:tcW w:type="dxa" w:w="3600"/>
            <w:tcMar>
              <w:top w:type="dxa" w:w="80"/>
              <w:left w:type="dxa" w:w="100"/>
              <w:bottom w:type="dxa" w:w="80"/>
              <w:right w:type="dxa" w:w="100"/>
            </w:tcMar>
          </w:tcPr>
          <w:p>
            <w:pPr>
              <w:jc w:val="center"/>
            </w:pPr>
            <w:r>
              <w:rPr>
                <w:b w:val="false"/>
                <w:bCs w:val="false"/>
                <w:color w:val="000000"/>
                <w:sz w:val="20"/>
                <w:szCs w:val="20"/>
              </w:rPr>
              <w:t xml:space="preserve">208 of 786 groups</w:t>
            </w:r>
          </w:p>
        </w:tc>
      </w:tr>
      <w:tr>
        <w:tc>
          <w:tcPr>
            <w:tcW w:type="dxa" w:w="5760"/>
            <w:shd w:fill="F2F2F2" w:val="clear"/>
            <w:tcMar>
              <w:top w:type="dxa" w:w="80"/>
              <w:left w:type="dxa" w:w="100"/>
              <w:bottom w:type="dxa" w:w="80"/>
              <w:right w:type="dxa" w:w="100"/>
            </w:tcMar>
          </w:tcPr>
          <w:p>
            <w:pPr>
              <w:jc w:val="left"/>
            </w:pPr>
            <w:r>
              <w:rPr>
                <w:b w:val="false"/>
                <w:bCs w:val="false"/>
                <w:color w:val="000000"/>
                <w:sz w:val="20"/>
                <w:szCs w:val="20"/>
              </w:rPr>
              <w:t xml:space="preserve">Rows affected by these mismatched groups</w:t>
            </w:r>
          </w:p>
        </w:tc>
        <w:tc>
          <w:tcPr>
            <w:tcW w:type="dxa" w:w="3600"/>
            <w:shd w:fill="F2F2F2" w:val="clear"/>
            <w:tcMar>
              <w:top w:type="dxa" w:w="80"/>
              <w:left w:type="dxa" w:w="100"/>
              <w:bottom w:type="dxa" w:w="80"/>
              <w:right w:type="dxa" w:w="100"/>
            </w:tcMar>
          </w:tcPr>
          <w:p>
            <w:pPr>
              <w:jc w:val="center"/>
            </w:pPr>
            <w:r>
              <w:rPr>
                <w:b w:val="false"/>
                <w:bCs w:val="false"/>
                <w:color w:val="000000"/>
                <w:sz w:val="20"/>
                <w:szCs w:val="20"/>
              </w:rPr>
              <w:t xml:space="preserve">416 (~8% of dataset)</w:t>
            </w:r>
          </w:p>
        </w:tc>
      </w:tr>
    </w:tbl>
    <w:p>
      <w:pPr>
        <w:spacing w:after="220" w:before="60"/>
      </w:pPr>
      <w:r>
        <w:rPr>
          <w:i/>
          <w:iCs/>
          <w:color w:val="555555"/>
          <w:sz w:val="20"/>
          <w:szCs w:val="20"/>
        </w:rPr>
        <w:t xml:space="preserve">Table A2. Duplicate-Ekegusii investigation results.</w:t>
      </w:r>
    </w:p>
    <w:p>
      <w:pPr>
        <w:spacing w:after="160" w:line="276"/>
      </w:pPr>
      <w:r>
        <w:t xml:space="preserve">These 416 rows were carried forward as a flagged data-quality issue and were ultimately removed later in the pipeline (Section A.9), rather than dropped immediately, so the decision could be verified against the fuller cleaned dataset first.</w:t>
      </w:r>
    </w:p>
    <w:p>
      <w:pPr>
        <w:pStyle w:val="Heading2"/>
        <w:spacing w:after="120" w:before="260"/>
      </w:pPr>
      <w:r>
        <w:t xml:space="preserve">A.3 Quantifying and Repairing Orthographic Noise</w:t>
      </w:r>
    </w:p>
    <w:p>
      <w:pPr>
        <w:spacing w:after="160" w:line="276"/>
      </w:pPr>
      <w:r>
        <w:t xml:space="preserve">Before normalizing, concrete counts were taken for known issue types: smart/curly quotes, mojibake (encoding corruption), and stray brackets.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shd w:fill="2F5496" w:val="clear"/>
            <w:tcMar>
              <w:top w:type="dxa" w:w="80"/>
              <w:left w:type="dxa" w:w="100"/>
              <w:bottom w:type="dxa" w:w="80"/>
              <w:right w:type="dxa" w:w="100"/>
            </w:tcMar>
          </w:tcPr>
          <w:p>
            <w:pPr>
              <w:jc w:val="left"/>
            </w:pPr>
            <w:r>
              <w:rPr>
                <w:b/>
                <w:bCs/>
                <w:color w:val="FFFFFF"/>
                <w:sz w:val="20"/>
                <w:szCs w:val="20"/>
              </w:rPr>
              <w:t xml:space="preserve">Issue</w:t>
            </w:r>
          </w:p>
        </w:tc>
        <w:tc>
          <w:tcPr>
            <w:tcW w:type="dxa" w:w="3600"/>
            <w:shd w:fill="2F5496" w:val="clear"/>
            <w:tcMar>
              <w:top w:type="dxa" w:w="80"/>
              <w:left w:type="dxa" w:w="100"/>
              <w:bottom w:type="dxa" w:w="80"/>
              <w:right w:type="dxa" w:w="100"/>
            </w:tcMar>
          </w:tcPr>
          <w:p>
            <w:pPr>
              <w:jc w:val="center"/>
            </w:pPr>
            <w:r>
              <w:rPr>
                <w:b/>
                <w:bCs/>
                <w:color w:val="FFFFFF"/>
                <w:sz w:val="20"/>
                <w:szCs w:val="20"/>
              </w:rPr>
              <w:t xml:space="preserve">Rows affected</w:t>
            </w:r>
          </w:p>
        </w:tc>
      </w:tr>
      <w:tr>
        <w:tc>
          <w:tcPr>
            <w:tcW w:type="dxa" w:w="5760"/>
            <w:tcMar>
              <w:top w:type="dxa" w:w="80"/>
              <w:left w:type="dxa" w:w="100"/>
              <w:bottom w:type="dxa" w:w="80"/>
              <w:right w:type="dxa" w:w="100"/>
            </w:tcMar>
          </w:tcPr>
          <w:p>
            <w:pPr>
              <w:jc w:val="left"/>
            </w:pPr>
            <w:r>
              <w:rPr>
                <w:b w:val="false"/>
                <w:bCs w:val="false"/>
                <w:color w:val="000000"/>
                <w:sz w:val="20"/>
                <w:szCs w:val="20"/>
              </w:rPr>
              <w:t xml:space="preserve">Smart quotes in English</w:t>
            </w:r>
          </w:p>
        </w:tc>
        <w:tc>
          <w:tcPr>
            <w:tcW w:type="dxa" w:w="3600"/>
            <w:tcMar>
              <w:top w:type="dxa" w:w="80"/>
              <w:left w:type="dxa" w:w="100"/>
              <w:bottom w:type="dxa" w:w="80"/>
              <w:right w:type="dxa" w:w="100"/>
            </w:tcMar>
          </w:tcPr>
          <w:p>
            <w:pPr>
              <w:jc w:val="center"/>
            </w:pPr>
            <w:r>
              <w:rPr>
                <w:b w:val="false"/>
                <w:bCs w:val="false"/>
                <w:color w:val="000000"/>
                <w:sz w:val="20"/>
                <w:szCs w:val="20"/>
              </w:rPr>
              <w:t xml:space="preserve">296</w:t>
            </w:r>
          </w:p>
        </w:tc>
      </w:tr>
      <w:tr>
        <w:tc>
          <w:tcPr>
            <w:tcW w:type="dxa" w:w="5760"/>
            <w:shd w:fill="F2F2F2" w:val="clear"/>
            <w:tcMar>
              <w:top w:type="dxa" w:w="80"/>
              <w:left w:type="dxa" w:w="100"/>
              <w:bottom w:type="dxa" w:w="80"/>
              <w:right w:type="dxa" w:w="100"/>
            </w:tcMar>
          </w:tcPr>
          <w:p>
            <w:pPr>
              <w:jc w:val="left"/>
            </w:pPr>
            <w:r>
              <w:rPr>
                <w:b w:val="false"/>
                <w:bCs w:val="false"/>
                <w:color w:val="000000"/>
                <w:sz w:val="20"/>
                <w:szCs w:val="20"/>
              </w:rPr>
              <w:t xml:space="preserve">Smart quotes in Ekegusii</w:t>
            </w:r>
          </w:p>
        </w:tc>
        <w:tc>
          <w:tcPr>
            <w:tcW w:type="dxa" w:w="3600"/>
            <w:shd w:fill="F2F2F2" w:val="clear"/>
            <w:tcMar>
              <w:top w:type="dxa" w:w="80"/>
              <w:left w:type="dxa" w:w="100"/>
              <w:bottom w:type="dxa" w:w="80"/>
              <w:right w:type="dxa" w:w="100"/>
            </w:tcMar>
          </w:tcPr>
          <w:p>
            <w:pPr>
              <w:jc w:val="center"/>
            </w:pPr>
            <w:r>
              <w:rPr>
                <w:b w:val="false"/>
                <w:bCs w:val="false"/>
                <w:color w:val="000000"/>
                <w:sz w:val="20"/>
                <w:szCs w:val="20"/>
              </w:rPr>
              <w:t xml:space="preserve">133</w:t>
            </w:r>
          </w:p>
        </w:tc>
      </w:tr>
      <w:tr>
        <w:tc>
          <w:tcPr>
            <w:tcW w:type="dxa" w:w="5760"/>
            <w:tcMar>
              <w:top w:type="dxa" w:w="80"/>
              <w:left w:type="dxa" w:w="100"/>
              <w:bottom w:type="dxa" w:w="80"/>
              <w:right w:type="dxa" w:w="100"/>
            </w:tcMar>
          </w:tcPr>
          <w:p>
            <w:pPr>
              <w:jc w:val="left"/>
            </w:pPr>
            <w:r>
              <w:rPr>
                <w:b w:val="false"/>
                <w:bCs w:val="false"/>
                <w:color w:val="000000"/>
                <w:sz w:val="20"/>
                <w:szCs w:val="20"/>
              </w:rPr>
              <w:t xml:space="preserve">Mojibake ('Â' artifact)</w:t>
            </w:r>
          </w:p>
        </w:tc>
        <w:tc>
          <w:tcPr>
            <w:tcW w:type="dxa" w:w="3600"/>
            <w:tcMar>
              <w:top w:type="dxa" w:w="80"/>
              <w:left w:type="dxa" w:w="100"/>
              <w:bottom w:type="dxa" w:w="80"/>
              <w:right w:type="dxa" w:w="100"/>
            </w:tcMar>
          </w:tcPr>
          <w:p>
            <w:pPr>
              <w:jc w:val="center"/>
            </w:pPr>
            <w:r>
              <w:rPr>
                <w:b w:val="false"/>
                <w:bCs w:val="false"/>
                <w:color w:val="000000"/>
                <w:sz w:val="20"/>
                <w:szCs w:val="20"/>
              </w:rPr>
              <w:t xml:space="preserve">222</w:t>
            </w:r>
          </w:p>
        </w:tc>
      </w:tr>
      <w:tr>
        <w:tc>
          <w:tcPr>
            <w:tcW w:type="dxa" w:w="5760"/>
            <w:shd w:fill="F2F2F2" w:val="clear"/>
            <w:tcMar>
              <w:top w:type="dxa" w:w="80"/>
              <w:left w:type="dxa" w:w="100"/>
              <w:bottom w:type="dxa" w:w="80"/>
              <w:right w:type="dxa" w:w="100"/>
            </w:tcMar>
          </w:tcPr>
          <w:p>
            <w:pPr>
              <w:jc w:val="left"/>
            </w:pPr>
            <w:r>
              <w:rPr>
                <w:b w:val="false"/>
                <w:bCs w:val="false"/>
                <w:color w:val="000000"/>
                <w:sz w:val="20"/>
                <w:szCs w:val="20"/>
              </w:rPr>
              <w:t xml:space="preserve">Stray unclosed '[' in Ekegusii</w:t>
            </w:r>
          </w:p>
        </w:tc>
        <w:tc>
          <w:tcPr>
            <w:tcW w:type="dxa" w:w="3600"/>
            <w:shd w:fill="F2F2F2" w:val="clear"/>
            <w:tcMar>
              <w:top w:type="dxa" w:w="80"/>
              <w:left w:type="dxa" w:w="100"/>
              <w:bottom w:type="dxa" w:w="80"/>
              <w:right w:type="dxa" w:w="100"/>
            </w:tcMar>
          </w:tcPr>
          <w:p>
            <w:pPr>
              <w:jc w:val="center"/>
            </w:pPr>
            <w:r>
              <w:rPr>
                <w:b w:val="false"/>
                <w:bCs w:val="false"/>
                <w:color w:val="000000"/>
                <w:sz w:val="20"/>
                <w:szCs w:val="20"/>
              </w:rPr>
              <w:t xml:space="preserve">10</w:t>
            </w:r>
          </w:p>
        </w:tc>
      </w:tr>
    </w:tbl>
    <w:p>
      <w:pPr>
        <w:spacing w:after="220" w:before="60"/>
      </w:pPr>
      <w:r>
        <w:rPr>
          <w:i/>
          <w:iCs/>
          <w:color w:val="555555"/>
          <w:sz w:val="20"/>
          <w:szCs w:val="20"/>
        </w:rPr>
        <w:t xml:space="preserve">Table A3. Initial orthographic-noise counts, Ekegusii dataset.</w:t>
      </w:r>
    </w:p>
    <w:p>
      <w:pPr>
        <w:spacing w:after="160" w:line="276"/>
      </w:pPr>
      <w:r>
        <w:t xml:space="preserve">Mojibake repair went through several iterations because a single detection pattern kept missing recurring cases: a first manual substring-replacement pass left 8 rows with visible corruption; switching to the ftfy library (built specifically for reversing mis-encoded text) resolved most of it but still left 8 rows involving triple-encoded corruption, fixed by looping ftfy's repair until output stabilized; a subsequent, more careful re-check then revealed the original detection regex itself had a blind spot — it never actually caught a second corruption signature (â€), which affected a further 252 rows (4.9% of the dataset) that earlier passes had wrongly reported as clean.</w:t>
      </w:r>
    </w:p>
    <w:p>
      <w:pPr>
        <w:spacing w:after="160" w:line="276"/>
      </w:pPr>
      <w:r>
        <w:t xml:space="preserve">The final normalization pipeline combined a manual Windows-1252/UTF-8 re-decode loop, a repeated ftfy pass, Unicode NFC normalization, quote standardization, bracket stripping, and a targeted catch-all pattern for a handful of recurring corrupted sequences (corrupted en-dashes, apostrophes, and degree symbols). After this final pass, 0 rows across English, Kiswahili, and Ekegusii retained any of the known mojibake signatures.</w:t>
      </w:r>
    </w:p>
    <w:p>
      <w:pPr>
        <w:pStyle w:val="Heading2"/>
        <w:spacing w:after="120" w:before="260"/>
      </w:pPr>
      <w:r>
        <w:t xml:space="preserve">A.4 Truncated Content</w:t>
      </w:r>
    </w:p>
    <w:p>
      <w:pPr>
        <w:spacing w:after="160" w:line="276"/>
      </w:pPr>
      <w:r>
        <w:t xml:space="preserve">A separate, more serious issue was identified: 405 rows (7.9% of the dataset) end in a literal ellipsis ('...'), indicating the source PSA text itself was truncated before entering the dataset — most likely scraped from a preview/snippet rather than a full article. This is not an encoding bug and cannot be repaired computationally; the remainder of the sentence is genuinely missing from the source. These rows were flagged (is_truncated) rather than silently dropped, since the decision to exclude vs. retain-with-a-flag affects nearly 400 rows and was judged to need a team/professor decision. 383 of the 405 truncated rows fall in the Agriculture domain.</w:t>
      </w:r>
    </w:p>
    <w:p>
      <w:pPr>
        <w:pStyle w:val="Heading2"/>
        <w:spacing w:after="120" w:before="260"/>
      </w:pPr>
      <w:r>
        <w:t xml:space="preserve">A.5 Code-Switching Detection and Glossary</w:t>
      </w:r>
    </w:p>
    <w:p>
      <w:pPr>
        <w:spacing w:after="160" w:line="276"/>
      </w:pPr>
      <w:r>
        <w:t xml:space="preserve">Ekegusii PSA text frequently embeds untranslated English-origin institutional acronyms (e.g. KUCCPS, SHA, NTSA) because these institutions have no established Ekegusii name. An initial all-caps token heuristic flagged 1,427 rows (27.7% of the dataset) containing at least one such token, with 415 distinct tokens identified. A refined pass excluded rows where the Ekegusii text itself was mostly capitalized (a formatting artifact rather than code-switching), narrowing the token count to 368 while keeping the row-level rate essentially unchanged (27.7%, 1,423 rows).</w:t>
      </w:r>
    </w:p>
    <w:p>
      <w:pPr>
        <w:spacing w:after="160" w:line="276"/>
      </w:pPr>
      <w:r>
        <w:t xml:space="preserve">Code-switch rate varied sharply by domain: Education 39.3%, Governance 33.8%, Agriculture 27.6%, Security 22.5%, Health 15.2% — consistent with Education and Governance PSAs naturally referencing exam boards, electoral commissions, and training authorities more often than Health PSAs reference named institutions.</w:t>
      </w:r>
    </w:p>
    <w:p>
      <w:pPr>
        <w:spacing w:after="160" w:line="276"/>
      </w:pPr>
      <w:r>
        <w:t xml:space="preserve">Investigating the long tail of one-off flagged tokens (words like RICHIKO, KENYATTA, OFISI) traced them to a distinct root cause: institutional address/contact-info blocks (e.g. an ILRI Kenya/Nigeria office address block) and a handful of fully-capitalized speech-style announcements had been copied into the dataset as if they were ordinary PSA sentences, inflating the acronym count with non-PSA boilerplate rather than genuine code-switching.</w:t>
      </w:r>
    </w:p>
    <w:p>
      <w:pPr>
        <w:pStyle w:val="Heading2"/>
        <w:spacing w:after="120" w:before="260"/>
      </w:pPr>
      <w:r>
        <w:t xml:space="preserve">A.6 Boilerplate/Address Row Removal</w:t>
      </w:r>
    </w:p>
    <w:p>
      <w:pPr>
        <w:spacing w:after="160" w:line="276"/>
      </w:pPr>
      <w:r>
        <w:t xml:space="preserve">A structural detector (P.O. Box references, 'OFFICE'/'OFISI' headers, long digit runs, and building/road/floor terms, requiring at least 2 independent signals) flagged 17 candidate rows. Manual review of all 17 confirmed 11 as genuine non-PSA boilerplate — organizational address blocks and directory listings that are not naturalistic PSA sentences a translation model should learn from — and these 11 rows were excluded, bringing the dataset from 5,144 to 5,133 rows.</w:t>
      </w:r>
    </w:p>
    <w:p>
      <w:pPr>
        <w:spacing w:after="160" w:line="276"/>
      </w:pPr>
      <w:r>
        <w:t xml:space="preserve">With boilerplate removed, the acronym detector was re-run on the cleaned data and a final glossary of 110 terms appearing 3 or more times was produced, with full institutional names filled in for the 20 most common, verified terms (e.g. TVET, IEBC, KCSE, KICD, EACC).</w:t>
      </w:r>
    </w:p>
    <w:p>
      <w:pPr>
        <w:pStyle w:val="Heading2"/>
        <w:spacing w:after="120" w:before="260"/>
      </w:pPr>
      <w:r>
        <w:t xml:space="preserve">A.7 Tokenization Analysis</w:t>
      </w:r>
    </w:p>
    <w:p>
      <w:pPr>
        <w:spacing w:after="160" w:line="276"/>
      </w:pPr>
      <w:r>
        <w:t xml:space="preserve">Using the mBERT multilingual subword tokenizer as a consistent, if imperfect, proxy across all three languages, tokens-per-word fragmentation increased clearly from English to Kiswahili to Ekegusii: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1800"/>
        <w:gridCol w:w="1760"/>
      </w:tblGrid>
      <w:tr>
        <w:trPr>
          <w:tblHeader/>
        </w:trPr>
        <w:tc>
          <w:tcPr>
            <w:tcW w:type="dxa" w:w="1800"/>
            <w:shd w:fill="2F5496" w:val="clear"/>
            <w:tcMar>
              <w:top w:type="dxa" w:w="80"/>
              <w:left w:type="dxa" w:w="100"/>
              <w:bottom w:type="dxa" w:w="80"/>
              <w:right w:type="dxa" w:w="100"/>
            </w:tcMar>
          </w:tcPr>
          <w:p>
            <w:pPr>
              <w:jc w:val="left"/>
            </w:pPr>
            <w:r>
              <w:rPr>
                <w:b/>
                <w:bCs/>
                <w:color w:val="FFFFFF"/>
                <w:sz w:val="20"/>
                <w:szCs w:val="20"/>
              </w:rPr>
              <w:t xml:space="preserve">Language</w:t>
            </w:r>
          </w:p>
        </w:tc>
        <w:tc>
          <w:tcPr>
            <w:tcW w:type="dxa" w:w="1800"/>
            <w:shd w:fill="2F5496" w:val="clear"/>
            <w:tcMar>
              <w:top w:type="dxa" w:w="80"/>
              <w:left w:type="dxa" w:w="100"/>
              <w:bottom w:type="dxa" w:w="80"/>
              <w:right w:type="dxa" w:w="100"/>
            </w:tcMar>
          </w:tcPr>
          <w:p>
            <w:pPr>
              <w:jc w:val="center"/>
            </w:pPr>
            <w:r>
              <w:rPr>
                <w:b/>
                <w:bCs/>
                <w:color w:val="FFFFFF"/>
                <w:sz w:val="20"/>
                <w:szCs w:val="20"/>
              </w:rPr>
              <w:t xml:space="preserve">Avg. words/sentence</w:t>
            </w:r>
          </w:p>
        </w:tc>
        <w:tc>
          <w:tcPr>
            <w:tcW w:type="dxa" w:w="2200"/>
            <w:shd w:fill="2F5496" w:val="clear"/>
            <w:tcMar>
              <w:top w:type="dxa" w:w="80"/>
              <w:left w:type="dxa" w:w="100"/>
              <w:bottom w:type="dxa" w:w="80"/>
              <w:right w:type="dxa" w:w="100"/>
            </w:tcMar>
          </w:tcPr>
          <w:p>
            <w:pPr>
              <w:jc w:val="center"/>
            </w:pPr>
            <w:r>
              <w:rPr>
                <w:b/>
                <w:bCs/>
                <w:color w:val="FFFFFF"/>
                <w:sz w:val="20"/>
                <w:szCs w:val="20"/>
              </w:rPr>
              <w:t xml:space="preserve">Avg. subword tokens/sentence</w:t>
            </w:r>
          </w:p>
        </w:tc>
        <w:tc>
          <w:tcPr>
            <w:tcW w:type="dxa" w:w="1800"/>
            <w:shd w:fill="2F5496" w:val="clear"/>
            <w:tcMar>
              <w:top w:type="dxa" w:w="80"/>
              <w:left w:type="dxa" w:w="100"/>
              <w:bottom w:type="dxa" w:w="80"/>
              <w:right w:type="dxa" w:w="100"/>
            </w:tcMar>
          </w:tcPr>
          <w:p>
            <w:pPr>
              <w:jc w:val="center"/>
            </w:pPr>
            <w:r>
              <w:rPr>
                <w:b/>
                <w:bCs/>
                <w:color w:val="FFFFFF"/>
                <w:sz w:val="20"/>
                <w:szCs w:val="20"/>
              </w:rPr>
              <w:t xml:space="preserve">Tokens-per-word ratio</w:t>
            </w:r>
          </w:p>
        </w:tc>
        <w:tc>
          <w:tcPr>
            <w:tcW w:type="dxa" w:w="1760"/>
            <w:shd w:fill="2F5496" w:val="clear"/>
            <w:tcMar>
              <w:top w:type="dxa" w:w="80"/>
              <w:left w:type="dxa" w:w="100"/>
              <w:bottom w:type="dxa" w:w="80"/>
              <w:right w:type="dxa" w:w="100"/>
            </w:tcMar>
          </w:tcPr>
          <w:p>
            <w:pPr>
              <w:jc w:val="center"/>
            </w:pPr>
            <w:r>
              <w:rPr>
                <w:b/>
                <w:bCs/>
                <w:color w:val="FFFFFF"/>
                <w:sz w:val="20"/>
                <w:szCs w:val="20"/>
              </w:rPr>
              <w:t xml:space="preserve">Unique vocabulary (whitespace-split)</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English</w:t>
            </w:r>
          </w:p>
        </w:tc>
        <w:tc>
          <w:tcPr>
            <w:tcW w:type="dxa" w:w="1800"/>
            <w:tcMar>
              <w:top w:type="dxa" w:w="80"/>
              <w:left w:type="dxa" w:w="100"/>
              <w:bottom w:type="dxa" w:w="80"/>
              <w:right w:type="dxa" w:w="100"/>
            </w:tcMar>
          </w:tcPr>
          <w:p>
            <w:pPr>
              <w:jc w:val="center"/>
            </w:pPr>
            <w:r>
              <w:rPr>
                <w:b w:val="false"/>
                <w:bCs w:val="false"/>
                <w:color w:val="000000"/>
                <w:sz w:val="20"/>
                <w:szCs w:val="20"/>
              </w:rPr>
              <w:t xml:space="preserve">17.1</w:t>
            </w:r>
          </w:p>
        </w:tc>
        <w:tc>
          <w:tcPr>
            <w:tcW w:type="dxa" w:w="2200"/>
            <w:tcMar>
              <w:top w:type="dxa" w:w="80"/>
              <w:left w:type="dxa" w:w="100"/>
              <w:bottom w:type="dxa" w:w="80"/>
              <w:right w:type="dxa" w:w="100"/>
            </w:tcMar>
          </w:tcPr>
          <w:p>
            <w:pPr>
              <w:jc w:val="center"/>
            </w:pPr>
            <w:r>
              <w:rPr>
                <w:b w:val="false"/>
                <w:bCs w:val="false"/>
                <w:color w:val="000000"/>
                <w:sz w:val="20"/>
                <w:szCs w:val="20"/>
              </w:rPr>
              <w:t xml:space="preserve">25.3</w:t>
            </w:r>
          </w:p>
        </w:tc>
        <w:tc>
          <w:tcPr>
            <w:tcW w:type="dxa" w:w="1800"/>
            <w:tcMar>
              <w:top w:type="dxa" w:w="80"/>
              <w:left w:type="dxa" w:w="100"/>
              <w:bottom w:type="dxa" w:w="80"/>
              <w:right w:type="dxa" w:w="100"/>
            </w:tcMar>
          </w:tcPr>
          <w:p>
            <w:pPr>
              <w:jc w:val="center"/>
            </w:pPr>
            <w:r>
              <w:rPr>
                <w:b w:val="false"/>
                <w:bCs w:val="false"/>
                <w:color w:val="000000"/>
                <w:sz w:val="20"/>
                <w:szCs w:val="20"/>
              </w:rPr>
              <w:t xml:space="preserve">1.48</w:t>
            </w:r>
          </w:p>
        </w:tc>
        <w:tc>
          <w:tcPr>
            <w:tcW w:type="dxa" w:w="1760"/>
            <w:tcMar>
              <w:top w:type="dxa" w:w="80"/>
              <w:left w:type="dxa" w:w="100"/>
              <w:bottom w:type="dxa" w:w="80"/>
              <w:right w:type="dxa" w:w="100"/>
            </w:tcMar>
          </w:tcPr>
          <w:p>
            <w:pPr>
              <w:jc w:val="center"/>
            </w:pPr>
            <w:r>
              <w:rPr>
                <w:b w:val="false"/>
                <w:bCs w:val="false"/>
                <w:color w:val="000000"/>
                <w:sz w:val="20"/>
                <w:szCs w:val="20"/>
              </w:rPr>
              <w:t xml:space="preserve">12,929</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Kiswahili</w:t>
            </w:r>
          </w:p>
        </w:tc>
        <w:tc>
          <w:tcPr>
            <w:tcW w:type="dxa" w:w="1800"/>
            <w:shd w:fill="F2F2F2" w:val="clear"/>
            <w:tcMar>
              <w:top w:type="dxa" w:w="80"/>
              <w:left w:type="dxa" w:w="100"/>
              <w:bottom w:type="dxa" w:w="80"/>
              <w:right w:type="dxa" w:w="100"/>
            </w:tcMar>
          </w:tcPr>
          <w:p>
            <w:pPr>
              <w:jc w:val="center"/>
            </w:pPr>
            <w:r>
              <w:rPr>
                <w:b w:val="false"/>
                <w:bCs w:val="false"/>
                <w:color w:val="000000"/>
                <w:sz w:val="20"/>
                <w:szCs w:val="20"/>
              </w:rPr>
              <w:t xml:space="preserve">19.3</w:t>
            </w:r>
          </w:p>
        </w:tc>
        <w:tc>
          <w:tcPr>
            <w:tcW w:type="dxa" w:w="2200"/>
            <w:shd w:fill="F2F2F2" w:val="clear"/>
            <w:tcMar>
              <w:top w:type="dxa" w:w="80"/>
              <w:left w:type="dxa" w:w="100"/>
              <w:bottom w:type="dxa" w:w="80"/>
              <w:right w:type="dxa" w:w="100"/>
            </w:tcMar>
          </w:tcPr>
          <w:p>
            <w:pPr>
              <w:jc w:val="center"/>
            </w:pPr>
            <w:r>
              <w:rPr>
                <w:b w:val="false"/>
                <w:bCs w:val="false"/>
                <w:color w:val="000000"/>
                <w:sz w:val="20"/>
                <w:szCs w:val="20"/>
              </w:rPr>
              <w:t xml:space="preserve">42.7</w:t>
            </w:r>
          </w:p>
        </w:tc>
        <w:tc>
          <w:tcPr>
            <w:tcW w:type="dxa" w:w="1800"/>
            <w:shd w:fill="F2F2F2" w:val="clear"/>
            <w:tcMar>
              <w:top w:type="dxa" w:w="80"/>
              <w:left w:type="dxa" w:w="100"/>
              <w:bottom w:type="dxa" w:w="80"/>
              <w:right w:type="dxa" w:w="100"/>
            </w:tcMar>
          </w:tcPr>
          <w:p>
            <w:pPr>
              <w:jc w:val="center"/>
            </w:pPr>
            <w:r>
              <w:rPr>
                <w:b w:val="false"/>
                <w:bCs w:val="false"/>
                <w:color w:val="000000"/>
                <w:sz w:val="20"/>
                <w:szCs w:val="20"/>
              </w:rPr>
              <w:t xml:space="preserve">2.21</w:t>
            </w:r>
          </w:p>
        </w:tc>
        <w:tc>
          <w:tcPr>
            <w:tcW w:type="dxa" w:w="1760"/>
            <w:shd w:fill="F2F2F2" w:val="clear"/>
            <w:tcMar>
              <w:top w:type="dxa" w:w="80"/>
              <w:left w:type="dxa" w:w="100"/>
              <w:bottom w:type="dxa" w:w="80"/>
              <w:right w:type="dxa" w:w="100"/>
            </w:tcMar>
          </w:tcPr>
          <w:p>
            <w:pPr>
              <w:jc w:val="center"/>
            </w:pPr>
            <w:r>
              <w:rPr>
                <w:b w:val="false"/>
                <w:bCs w:val="false"/>
                <w:color w:val="000000"/>
                <w:sz w:val="20"/>
                <w:szCs w:val="20"/>
              </w:rPr>
              <w:t xml:space="preserve">12,084</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Ekegusii</w:t>
            </w:r>
          </w:p>
        </w:tc>
        <w:tc>
          <w:tcPr>
            <w:tcW w:type="dxa" w:w="1800"/>
            <w:tcMar>
              <w:top w:type="dxa" w:w="80"/>
              <w:left w:type="dxa" w:w="100"/>
              <w:bottom w:type="dxa" w:w="80"/>
              <w:right w:type="dxa" w:w="100"/>
            </w:tcMar>
          </w:tcPr>
          <w:p>
            <w:pPr>
              <w:jc w:val="center"/>
            </w:pPr>
            <w:r>
              <w:rPr>
                <w:b w:val="false"/>
                <w:bCs w:val="false"/>
                <w:color w:val="000000"/>
                <w:sz w:val="20"/>
                <w:szCs w:val="20"/>
              </w:rPr>
              <w:t xml:space="preserve">19.7</w:t>
            </w:r>
          </w:p>
        </w:tc>
        <w:tc>
          <w:tcPr>
            <w:tcW w:type="dxa" w:w="2200"/>
            <w:tcMar>
              <w:top w:type="dxa" w:w="80"/>
              <w:left w:type="dxa" w:w="100"/>
              <w:bottom w:type="dxa" w:w="80"/>
              <w:right w:type="dxa" w:w="100"/>
            </w:tcMar>
          </w:tcPr>
          <w:p>
            <w:pPr>
              <w:jc w:val="center"/>
            </w:pPr>
            <w:r>
              <w:rPr>
                <w:b w:val="false"/>
                <w:bCs w:val="false"/>
                <w:color w:val="000000"/>
                <w:sz w:val="20"/>
                <w:szCs w:val="20"/>
              </w:rPr>
              <w:t xml:space="preserve">54.4</w:t>
            </w:r>
          </w:p>
        </w:tc>
        <w:tc>
          <w:tcPr>
            <w:tcW w:type="dxa" w:w="1800"/>
            <w:tcMar>
              <w:top w:type="dxa" w:w="80"/>
              <w:left w:type="dxa" w:w="100"/>
              <w:bottom w:type="dxa" w:w="80"/>
              <w:right w:type="dxa" w:w="100"/>
            </w:tcMar>
          </w:tcPr>
          <w:p>
            <w:pPr>
              <w:jc w:val="center"/>
            </w:pPr>
            <w:r>
              <w:rPr>
                <w:b w:val="false"/>
                <w:bCs w:val="false"/>
                <w:color w:val="000000"/>
                <w:sz w:val="20"/>
                <w:szCs w:val="20"/>
              </w:rPr>
              <w:t xml:space="preserve">2.77</w:t>
            </w:r>
          </w:p>
        </w:tc>
        <w:tc>
          <w:tcPr>
            <w:tcW w:type="dxa" w:w="1760"/>
            <w:tcMar>
              <w:top w:type="dxa" w:w="80"/>
              <w:left w:type="dxa" w:w="100"/>
              <w:bottom w:type="dxa" w:w="80"/>
              <w:right w:type="dxa" w:w="100"/>
            </w:tcMar>
          </w:tcPr>
          <w:p>
            <w:pPr>
              <w:jc w:val="center"/>
            </w:pPr>
            <w:r>
              <w:rPr>
                <w:b w:val="false"/>
                <w:bCs w:val="false"/>
                <w:color w:val="000000"/>
                <w:sz w:val="20"/>
                <w:szCs w:val="20"/>
              </w:rPr>
              <w:t xml:space="preserve">18,256</w:t>
            </w:r>
          </w:p>
        </w:tc>
      </w:tr>
    </w:tbl>
    <w:p>
      <w:pPr>
        <w:spacing w:after="220" w:before="60"/>
      </w:pPr>
      <w:r>
        <w:rPr>
          <w:i/>
          <w:iCs/>
          <w:color w:val="555555"/>
          <w:sz w:val="20"/>
          <w:szCs w:val="20"/>
        </w:rPr>
        <w:t xml:space="preserve">Table A4. Tokenization statistics by language, Ekegusii track.</w:t>
      </w:r>
    </w:p>
    <w:p>
      <w:pPr>
        <w:spacing w:after="160" w:line="276"/>
      </w:pPr>
      <w:r>
        <w:t xml:space="preserve">Ekegusii shows the highest fragmentation and largest whitespace vocabulary despite a similar sentence count and average word count to the other two languages — consistent with high morphological complexity. An explicit caveat was documented: mBERT was never trained on Ekegusii, so part of the elevated ratio reflects tokenizer unfamiliarity with an unseen language rather than purely linguistic complexity; a Kiswahili-family or Ekegusii-specific tokenizer would give a cleaner signal.</w:t>
      </w:r>
    </w:p>
    <w:p>
      <w:pPr>
        <w:pStyle w:val="Heading2"/>
        <w:spacing w:after="120" w:before="260"/>
      </w:pPr>
      <w:r>
        <w:t xml:space="preserve">A.8 Exploratory Data Analysis</w:t>
      </w:r>
    </w:p>
    <w:p>
      <w:pPr>
        <w:spacing w:after="160" w:line="276"/>
      </w:pPr>
      <w:r>
        <w:t xml:space="preserve">EDA on the full dataset covered domain balance, word-length distributions, per-domain Ekegusii length, and the Ekegusii-to-English expansion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2060"/>
        <w:gridCol w:w="2070"/>
        <w:gridCol w:w="2070"/>
      </w:tblGrid>
      <w:tr>
        <w:trPr>
          <w:tblHeader/>
        </w:trPr>
        <w:tc>
          <w:tcPr>
            <w:tcW w:type="dxa" w:w="3160"/>
            <w:shd w:fill="2F5496" w:val="clear"/>
            <w:tcMar>
              <w:top w:type="dxa" w:w="80"/>
              <w:left w:type="dxa" w:w="100"/>
              <w:bottom w:type="dxa" w:w="80"/>
              <w:right w:type="dxa" w:w="100"/>
            </w:tcMar>
          </w:tcPr>
          <w:p>
            <w:pPr>
              <w:jc w:val="left"/>
            </w:pPr>
            <w:r>
              <w:rPr>
                <w:b/>
                <w:bCs/>
                <w:color w:val="FFFFFF"/>
                <w:sz w:val="20"/>
                <w:szCs w:val="20"/>
              </w:rPr>
              <w:t xml:space="preserve">Statistic</w:t>
            </w:r>
          </w:p>
        </w:tc>
        <w:tc>
          <w:tcPr>
            <w:tcW w:type="dxa" w:w="2060"/>
            <w:shd w:fill="2F5496" w:val="clear"/>
            <w:tcMar>
              <w:top w:type="dxa" w:w="80"/>
              <w:left w:type="dxa" w:w="100"/>
              <w:bottom w:type="dxa" w:w="80"/>
              <w:right w:type="dxa" w:w="100"/>
            </w:tcMar>
          </w:tcPr>
          <w:p>
            <w:pPr>
              <w:jc w:val="center"/>
            </w:pPr>
            <w:r>
              <w:rPr>
                <w:b/>
                <w:bCs/>
                <w:color w:val="FFFFFF"/>
                <w:sz w:val="20"/>
                <w:szCs w:val="20"/>
              </w:rPr>
              <w:t xml:space="preserve">English words</w:t>
            </w:r>
          </w:p>
        </w:tc>
        <w:tc>
          <w:tcPr>
            <w:tcW w:type="dxa" w:w="2070"/>
            <w:shd w:fill="2F5496" w:val="clear"/>
            <w:tcMar>
              <w:top w:type="dxa" w:w="80"/>
              <w:left w:type="dxa" w:w="100"/>
              <w:bottom w:type="dxa" w:w="80"/>
              <w:right w:type="dxa" w:w="100"/>
            </w:tcMar>
          </w:tcPr>
          <w:p>
            <w:pPr>
              <w:jc w:val="center"/>
            </w:pPr>
            <w:r>
              <w:rPr>
                <w:b/>
                <w:bCs/>
                <w:color w:val="FFFFFF"/>
                <w:sz w:val="20"/>
                <w:szCs w:val="20"/>
              </w:rPr>
              <w:t xml:space="preserve">Kiswahili words</w:t>
            </w:r>
          </w:p>
        </w:tc>
        <w:tc>
          <w:tcPr>
            <w:tcW w:type="dxa" w:w="2070"/>
            <w:shd w:fill="2F5496" w:val="clear"/>
            <w:tcMar>
              <w:top w:type="dxa" w:w="80"/>
              <w:left w:type="dxa" w:w="100"/>
              <w:bottom w:type="dxa" w:w="80"/>
              <w:right w:type="dxa" w:w="100"/>
            </w:tcMar>
          </w:tcPr>
          <w:p>
            <w:pPr>
              <w:jc w:val="center"/>
            </w:pPr>
            <w:r>
              <w:rPr>
                <w:b/>
                <w:bCs/>
                <w:color w:val="FFFFFF"/>
                <w:sz w:val="20"/>
                <w:szCs w:val="20"/>
              </w:rPr>
              <w:t xml:space="preserve">Ekegusii words</w:t>
            </w:r>
          </w:p>
        </w:tc>
      </w:tr>
      <w:tr>
        <w:tc>
          <w:tcPr>
            <w:tcW w:type="dxa" w:w="3160"/>
            <w:tcMar>
              <w:top w:type="dxa" w:w="80"/>
              <w:left w:type="dxa" w:w="100"/>
              <w:bottom w:type="dxa" w:w="80"/>
              <w:right w:type="dxa" w:w="100"/>
            </w:tcMar>
          </w:tcPr>
          <w:p>
            <w:pPr>
              <w:jc w:val="left"/>
            </w:pPr>
            <w:r>
              <w:rPr>
                <w:b w:val="false"/>
                <w:bCs w:val="false"/>
                <w:color w:val="000000"/>
                <w:sz w:val="20"/>
                <w:szCs w:val="20"/>
              </w:rPr>
              <w:t xml:space="preserve">Mean</w:t>
            </w:r>
          </w:p>
        </w:tc>
        <w:tc>
          <w:tcPr>
            <w:tcW w:type="dxa" w:w="2060"/>
            <w:tcMar>
              <w:top w:type="dxa" w:w="80"/>
              <w:left w:type="dxa" w:w="100"/>
              <w:bottom w:type="dxa" w:w="80"/>
              <w:right w:type="dxa" w:w="100"/>
            </w:tcMar>
          </w:tcPr>
          <w:p>
            <w:pPr>
              <w:jc w:val="center"/>
            </w:pPr>
            <w:r>
              <w:rPr>
                <w:b w:val="false"/>
                <w:bCs w:val="false"/>
                <w:color w:val="000000"/>
                <w:sz w:val="20"/>
                <w:szCs w:val="20"/>
              </w:rPr>
              <w:t xml:space="preserve">17.10</w:t>
            </w:r>
          </w:p>
        </w:tc>
        <w:tc>
          <w:tcPr>
            <w:tcW w:type="dxa" w:w="2070"/>
            <w:tcMar>
              <w:top w:type="dxa" w:w="80"/>
              <w:left w:type="dxa" w:w="100"/>
              <w:bottom w:type="dxa" w:w="80"/>
              <w:right w:type="dxa" w:w="100"/>
            </w:tcMar>
          </w:tcPr>
          <w:p>
            <w:pPr>
              <w:jc w:val="center"/>
            </w:pPr>
            <w:r>
              <w:rPr>
                <w:b w:val="false"/>
                <w:bCs w:val="false"/>
                <w:color w:val="000000"/>
                <w:sz w:val="20"/>
                <w:szCs w:val="20"/>
              </w:rPr>
              <w:t xml:space="preserve">19.31</w:t>
            </w:r>
          </w:p>
        </w:tc>
        <w:tc>
          <w:tcPr>
            <w:tcW w:type="dxa" w:w="2070"/>
            <w:tcMar>
              <w:top w:type="dxa" w:w="80"/>
              <w:left w:type="dxa" w:w="100"/>
              <w:bottom w:type="dxa" w:w="80"/>
              <w:right w:type="dxa" w:w="100"/>
            </w:tcMar>
          </w:tcPr>
          <w:p>
            <w:pPr>
              <w:jc w:val="center"/>
            </w:pPr>
            <w:r>
              <w:rPr>
                <w:b w:val="false"/>
                <w:bCs w:val="false"/>
                <w:color w:val="000000"/>
                <w:sz w:val="20"/>
                <w:szCs w:val="20"/>
              </w:rPr>
              <w:t xml:space="preserve">19.68</w:t>
            </w:r>
          </w:p>
        </w:tc>
      </w:tr>
      <w:tr>
        <w:tc>
          <w:tcPr>
            <w:tcW w:type="dxa" w:w="3160"/>
            <w:shd w:fill="F2F2F2" w:val="clear"/>
            <w:tcMar>
              <w:top w:type="dxa" w:w="80"/>
              <w:left w:type="dxa" w:w="100"/>
              <w:bottom w:type="dxa" w:w="80"/>
              <w:right w:type="dxa" w:w="100"/>
            </w:tcMar>
          </w:tcPr>
          <w:p>
            <w:pPr>
              <w:jc w:val="left"/>
            </w:pPr>
            <w:r>
              <w:rPr>
                <w:b w:val="false"/>
                <w:bCs w:val="false"/>
                <w:color w:val="000000"/>
                <w:sz w:val="20"/>
                <w:szCs w:val="20"/>
              </w:rPr>
              <w:t xml:space="preserve">Median</w:t>
            </w:r>
          </w:p>
        </w:tc>
        <w:tc>
          <w:tcPr>
            <w:tcW w:type="dxa" w:w="2060"/>
            <w:shd w:fill="F2F2F2" w:val="clear"/>
            <w:tcMar>
              <w:top w:type="dxa" w:w="80"/>
              <w:left w:type="dxa" w:w="100"/>
              <w:bottom w:type="dxa" w:w="80"/>
              <w:right w:type="dxa" w:w="100"/>
            </w:tcMar>
          </w:tcPr>
          <w:p>
            <w:pPr>
              <w:jc w:val="center"/>
            </w:pPr>
            <w:r>
              <w:rPr>
                <w:b w:val="false"/>
                <w:bCs w:val="false"/>
                <w:color w:val="000000"/>
                <w:sz w:val="20"/>
                <w:szCs w:val="20"/>
              </w:rPr>
              <w:t xml:space="preserve">15.00</w:t>
            </w:r>
          </w:p>
        </w:tc>
        <w:tc>
          <w:tcPr>
            <w:tcW w:type="dxa" w:w="2070"/>
            <w:shd w:fill="F2F2F2" w:val="clear"/>
            <w:tcMar>
              <w:top w:type="dxa" w:w="80"/>
              <w:left w:type="dxa" w:w="100"/>
              <w:bottom w:type="dxa" w:w="80"/>
              <w:right w:type="dxa" w:w="100"/>
            </w:tcMar>
          </w:tcPr>
          <w:p>
            <w:pPr>
              <w:jc w:val="center"/>
            </w:pPr>
            <w:r>
              <w:rPr>
                <w:b w:val="false"/>
                <w:bCs w:val="false"/>
                <w:color w:val="000000"/>
                <w:sz w:val="20"/>
                <w:szCs w:val="20"/>
              </w:rPr>
              <w:t xml:space="preserve">18.00</w:t>
            </w:r>
          </w:p>
        </w:tc>
        <w:tc>
          <w:tcPr>
            <w:tcW w:type="dxa" w:w="2070"/>
            <w:shd w:fill="F2F2F2" w:val="clear"/>
            <w:tcMar>
              <w:top w:type="dxa" w:w="80"/>
              <w:left w:type="dxa" w:w="100"/>
              <w:bottom w:type="dxa" w:w="80"/>
              <w:right w:type="dxa" w:w="100"/>
            </w:tcMar>
          </w:tcPr>
          <w:p>
            <w:pPr>
              <w:jc w:val="center"/>
            </w:pPr>
            <w:r>
              <w:rPr>
                <w:b w:val="false"/>
                <w:bCs w:val="false"/>
                <w:color w:val="000000"/>
                <w:sz w:val="20"/>
                <w:szCs w:val="20"/>
              </w:rPr>
              <w:t xml:space="preserve">18.00</w:t>
            </w:r>
          </w:p>
        </w:tc>
      </w:tr>
      <w:tr>
        <w:tc>
          <w:tcPr>
            <w:tcW w:type="dxa" w:w="3160"/>
            <w:tcMar>
              <w:top w:type="dxa" w:w="80"/>
              <w:left w:type="dxa" w:w="100"/>
              <w:bottom w:type="dxa" w:w="80"/>
              <w:right w:type="dxa" w:w="100"/>
            </w:tcMar>
          </w:tcPr>
          <w:p>
            <w:pPr>
              <w:jc w:val="left"/>
            </w:pPr>
            <w:r>
              <w:rPr>
                <w:b w:val="false"/>
                <w:bCs w:val="false"/>
                <w:color w:val="000000"/>
                <w:sz w:val="20"/>
                <w:szCs w:val="20"/>
              </w:rPr>
              <w:t xml:space="preserve">95th percentile</w:t>
            </w:r>
          </w:p>
        </w:tc>
        <w:tc>
          <w:tcPr>
            <w:tcW w:type="dxa" w:w="2060"/>
            <w:tcMar>
              <w:top w:type="dxa" w:w="80"/>
              <w:left w:type="dxa" w:w="100"/>
              <w:bottom w:type="dxa" w:w="80"/>
              <w:right w:type="dxa" w:w="100"/>
            </w:tcMar>
          </w:tcPr>
          <w:p>
            <w:pPr>
              <w:jc w:val="center"/>
            </w:pPr>
            <w:r>
              <w:rPr>
                <w:b w:val="false"/>
                <w:bCs w:val="false"/>
                <w:color w:val="000000"/>
                <w:sz w:val="20"/>
                <w:szCs w:val="20"/>
              </w:rPr>
              <w:t xml:space="preserve">35.00</w:t>
            </w:r>
          </w:p>
        </w:tc>
        <w:tc>
          <w:tcPr>
            <w:tcW w:type="dxa" w:w="2070"/>
            <w:tcMar>
              <w:top w:type="dxa" w:w="80"/>
              <w:left w:type="dxa" w:w="100"/>
              <w:bottom w:type="dxa" w:w="80"/>
              <w:right w:type="dxa" w:w="100"/>
            </w:tcMar>
          </w:tcPr>
          <w:p>
            <w:pPr>
              <w:jc w:val="center"/>
            </w:pPr>
            <w:r>
              <w:rPr>
                <w:b w:val="false"/>
                <w:bCs w:val="false"/>
                <w:color w:val="000000"/>
                <w:sz w:val="20"/>
                <w:szCs w:val="20"/>
              </w:rPr>
              <w:t xml:space="preserve">35.00</w:t>
            </w:r>
          </w:p>
        </w:tc>
        <w:tc>
          <w:tcPr>
            <w:tcW w:type="dxa" w:w="2070"/>
            <w:tcMar>
              <w:top w:type="dxa" w:w="80"/>
              <w:left w:type="dxa" w:w="100"/>
              <w:bottom w:type="dxa" w:w="80"/>
              <w:right w:type="dxa" w:w="100"/>
            </w:tcMar>
          </w:tcPr>
          <w:p>
            <w:pPr>
              <w:jc w:val="center"/>
            </w:pPr>
            <w:r>
              <w:rPr>
                <w:b w:val="false"/>
                <w:bCs w:val="false"/>
                <w:color w:val="000000"/>
                <w:sz w:val="20"/>
                <w:szCs w:val="20"/>
              </w:rPr>
              <w:t xml:space="preserve">35.00</w:t>
            </w:r>
          </w:p>
        </w:tc>
      </w:tr>
      <w:tr>
        <w:tc>
          <w:tcPr>
            <w:tcW w:type="dxa" w:w="3160"/>
            <w:shd w:fill="F2F2F2" w:val="clear"/>
            <w:tcMar>
              <w:top w:type="dxa" w:w="80"/>
              <w:left w:type="dxa" w:w="100"/>
              <w:bottom w:type="dxa" w:w="80"/>
              <w:right w:type="dxa" w:w="100"/>
            </w:tcMar>
          </w:tcPr>
          <w:p>
            <w:pPr>
              <w:jc w:val="left"/>
            </w:pPr>
            <w:r>
              <w:rPr>
                <w:b w:val="false"/>
                <w:bCs w:val="false"/>
                <w:color w:val="000000"/>
                <w:sz w:val="20"/>
                <w:szCs w:val="20"/>
              </w:rPr>
              <w:t xml:space="preserve">99th percentile</w:t>
            </w:r>
          </w:p>
        </w:tc>
        <w:tc>
          <w:tcPr>
            <w:tcW w:type="dxa" w:w="2060"/>
            <w:shd w:fill="F2F2F2" w:val="clear"/>
            <w:tcMar>
              <w:top w:type="dxa" w:w="80"/>
              <w:left w:type="dxa" w:w="100"/>
              <w:bottom w:type="dxa" w:w="80"/>
              <w:right w:type="dxa" w:w="100"/>
            </w:tcMar>
          </w:tcPr>
          <w:p>
            <w:pPr>
              <w:jc w:val="center"/>
            </w:pPr>
            <w:r>
              <w:rPr>
                <w:b w:val="false"/>
                <w:bCs w:val="false"/>
                <w:color w:val="000000"/>
                <w:sz w:val="20"/>
                <w:szCs w:val="20"/>
              </w:rPr>
              <w:t xml:space="preserve">49.00</w:t>
            </w:r>
          </w:p>
        </w:tc>
        <w:tc>
          <w:tcPr>
            <w:tcW w:type="dxa" w:w="2070"/>
            <w:shd w:fill="F2F2F2" w:val="clear"/>
            <w:tcMar>
              <w:top w:type="dxa" w:w="80"/>
              <w:left w:type="dxa" w:w="100"/>
              <w:bottom w:type="dxa" w:w="80"/>
              <w:right w:type="dxa" w:w="100"/>
            </w:tcMar>
          </w:tcPr>
          <w:p>
            <w:pPr>
              <w:jc w:val="center"/>
            </w:pPr>
            <w:r>
              <w:rPr>
                <w:b w:val="false"/>
                <w:bCs w:val="false"/>
                <w:color w:val="000000"/>
                <w:sz w:val="20"/>
                <w:szCs w:val="20"/>
              </w:rPr>
              <w:t xml:space="preserve">53.57</w:t>
            </w:r>
          </w:p>
        </w:tc>
        <w:tc>
          <w:tcPr>
            <w:tcW w:type="dxa" w:w="2070"/>
            <w:shd w:fill="F2F2F2" w:val="clear"/>
            <w:tcMar>
              <w:top w:type="dxa" w:w="80"/>
              <w:left w:type="dxa" w:w="100"/>
              <w:bottom w:type="dxa" w:w="80"/>
              <w:right w:type="dxa" w:w="100"/>
            </w:tcMar>
          </w:tcPr>
          <w:p>
            <w:pPr>
              <w:jc w:val="center"/>
            </w:pPr>
            <w:r>
              <w:rPr>
                <w:b w:val="false"/>
                <w:bCs w:val="false"/>
                <w:color w:val="000000"/>
                <w:sz w:val="20"/>
                <w:szCs w:val="20"/>
              </w:rPr>
              <w:t xml:space="preserve">51.00</w:t>
            </w:r>
          </w:p>
        </w:tc>
      </w:tr>
      <w:tr>
        <w:tc>
          <w:tcPr>
            <w:tcW w:type="dxa" w:w="3160"/>
            <w:tcMar>
              <w:top w:type="dxa" w:w="80"/>
              <w:left w:type="dxa" w:w="100"/>
              <w:bottom w:type="dxa" w:w="80"/>
              <w:right w:type="dxa" w:w="100"/>
            </w:tcMar>
          </w:tcPr>
          <w:p>
            <w:pPr>
              <w:jc w:val="left"/>
            </w:pPr>
            <w:r>
              <w:rPr>
                <w:b w:val="false"/>
                <w:bCs w:val="false"/>
                <w:color w:val="000000"/>
                <w:sz w:val="20"/>
                <w:szCs w:val="20"/>
              </w:rPr>
              <w:t xml:space="preserve">Max</w:t>
            </w:r>
          </w:p>
        </w:tc>
        <w:tc>
          <w:tcPr>
            <w:tcW w:type="dxa" w:w="2060"/>
            <w:tcMar>
              <w:top w:type="dxa" w:w="80"/>
              <w:left w:type="dxa" w:w="100"/>
              <w:bottom w:type="dxa" w:w="80"/>
              <w:right w:type="dxa" w:w="100"/>
            </w:tcMar>
          </w:tcPr>
          <w:p>
            <w:pPr>
              <w:jc w:val="center"/>
            </w:pPr>
            <w:r>
              <w:rPr>
                <w:b w:val="false"/>
                <w:bCs w:val="false"/>
                <w:color w:val="000000"/>
                <w:sz w:val="20"/>
                <w:szCs w:val="20"/>
              </w:rPr>
              <w:t xml:space="preserve">109</w:t>
            </w:r>
          </w:p>
        </w:tc>
        <w:tc>
          <w:tcPr>
            <w:tcW w:type="dxa" w:w="2070"/>
            <w:tcMar>
              <w:top w:type="dxa" w:w="80"/>
              <w:left w:type="dxa" w:w="100"/>
              <w:bottom w:type="dxa" w:w="80"/>
              <w:right w:type="dxa" w:w="100"/>
            </w:tcMar>
          </w:tcPr>
          <w:p>
            <w:pPr>
              <w:jc w:val="center"/>
            </w:pPr>
            <w:r>
              <w:rPr>
                <w:b w:val="false"/>
                <w:bCs w:val="false"/>
                <w:color w:val="000000"/>
                <w:sz w:val="20"/>
                <w:szCs w:val="20"/>
              </w:rPr>
              <w:t xml:space="preserve">120</w:t>
            </w:r>
          </w:p>
        </w:tc>
        <w:tc>
          <w:tcPr>
            <w:tcW w:type="dxa" w:w="2070"/>
            <w:tcMar>
              <w:top w:type="dxa" w:w="80"/>
              <w:left w:type="dxa" w:w="100"/>
              <w:bottom w:type="dxa" w:w="80"/>
              <w:right w:type="dxa" w:w="100"/>
            </w:tcMar>
          </w:tcPr>
          <w:p>
            <w:pPr>
              <w:jc w:val="center"/>
            </w:pPr>
            <w:r>
              <w:rPr>
                <w:b w:val="false"/>
                <w:bCs w:val="false"/>
                <w:color w:val="000000"/>
                <w:sz w:val="20"/>
                <w:szCs w:val="20"/>
              </w:rPr>
              <w:t xml:space="preserve">95</w:t>
            </w:r>
          </w:p>
        </w:tc>
      </w:tr>
    </w:tbl>
    <w:p>
      <w:pPr>
        <w:spacing w:after="220" w:before="60"/>
      </w:pPr>
      <w:r>
        <w:rPr>
          <w:i/>
          <w:iCs/>
          <w:color w:val="555555"/>
          <w:sz w:val="20"/>
          <w:szCs w:val="20"/>
        </w:rPr>
        <w:t xml:space="preserve">Table A5. Word-length distribution summary, Ekegusii track.</w:t>
      </w:r>
    </w:p>
    <w:p>
      <w:pPr>
        <w:pStyle w:val="ListParagraph"/>
        <w:numPr>
          <w:ilvl w:val="0"/>
          <w:numId w:val="2"/>
        </w:numPr>
        <w:spacing w:after="80"/>
      </w:pPr>
      <w:r>
        <w:t xml:space="preserve">Domain imbalance is severe enough to be an explicit action item: Governance is only ~10% of the corpus vs. ~28% for Education, motivating stratified splitting and, potentially, class-weighted loss or oversampling during training.</w:t>
      </w:r>
    </w:p>
    <w:p>
      <w:pPr>
        <w:pStyle w:val="ListParagraph"/>
        <w:numPr>
          <w:ilvl w:val="0"/>
          <w:numId w:val="2"/>
        </w:numPr>
        <w:spacing w:after="80"/>
      </w:pPr>
      <w:r>
        <w:t xml:space="preserve">Ekegusii and Kiswahili sentences run consistently ~15–20% longer in word count than their English source, typical of morphologically rich Bantu languages.</w:t>
      </w:r>
    </w:p>
    <w:p>
      <w:pPr>
        <w:pStyle w:val="ListParagraph"/>
        <w:numPr>
          <w:ilvl w:val="0"/>
          <w:numId w:val="2"/>
        </w:numPr>
        <w:spacing w:after="80"/>
      </w:pPr>
      <w:r>
        <w:t xml:space="preserve">With 99% of sentences under ~52 words (roughly 70 subword tokens), a tokenizer max_length of 128 tokens was recommended as safely capturing over 99.5% of sentence content without excessive padding.</w:t>
      </w:r>
    </w:p>
    <w:p>
      <w:pPr>
        <w:pStyle w:val="ListParagraph"/>
        <w:numPr>
          <w:ilvl w:val="0"/>
          <w:numId w:val="2"/>
        </w:numPr>
        <w:spacing w:after="80"/>
      </w:pPr>
      <w:r>
        <w:t xml:space="preserve">The Ekegusii-to-English word-count expansion ratio peaks around 1.0–1.25, with extreme outliers (&lt;0.3 or &gt;3.0) flagged as likely corrupted or incomplete rows worth filtering before training.</w:t>
      </w:r>
    </w:p>
    <w:p>
      <w:pPr>
        <w:pStyle w:val="Heading2"/>
        <w:spacing w:after="120" w:before="260"/>
      </w:pPr>
      <w:r>
        <w:t xml:space="preserve">A.9 Final Filtering and Stratified Split</w:t>
      </w:r>
    </w:p>
    <w:p>
      <w:pPr>
        <w:spacing w:after="160" w:line="276"/>
      </w:pPr>
      <w:r>
        <w:t xml:space="preserve">Using the same Jaccard word-overlap technique from Section A.2 (threshold &lt; 0.15), duplicate-Ekegusii groups with unrelated English sentences were identified and their rows removed dataset-wide: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shd w:fill="2F5496" w:val="clear"/>
            <w:tcMar>
              <w:top w:type="dxa" w:w="80"/>
              <w:left w:type="dxa" w:w="100"/>
              <w:bottom w:type="dxa" w:w="80"/>
              <w:right w:type="dxa" w:w="100"/>
            </w:tcMar>
          </w:tcPr>
          <w:p>
            <w:pPr>
              <w:jc w:val="left"/>
            </w:pPr>
            <w:r>
              <w:rPr>
                <w:b/>
                <w:bCs/>
                <w:color w:val="FFFFFF"/>
                <w:sz w:val="20"/>
                <w:szCs w:val="20"/>
              </w:rPr>
              <w:t xml:space="preserve">Stage</w:t>
            </w:r>
          </w:p>
        </w:tc>
        <w:tc>
          <w:tcPr>
            <w:tcW w:type="dxa" w:w="3600"/>
            <w:shd w:fill="2F5496" w:val="clear"/>
            <w:tcMar>
              <w:top w:type="dxa" w:w="80"/>
              <w:left w:type="dxa" w:w="100"/>
              <w:bottom w:type="dxa" w:w="80"/>
              <w:right w:type="dxa" w:w="100"/>
            </w:tcMar>
          </w:tcPr>
          <w:p>
            <w:pPr>
              <w:jc w:val="center"/>
            </w:pPr>
            <w:r>
              <w:rPr>
                <w:b/>
                <w:bCs/>
                <w:color w:val="FFFFFF"/>
                <w:sz w:val="20"/>
                <w:szCs w:val="20"/>
              </w:rPr>
              <w:t xml:space="preserve">Row count</w:t>
            </w:r>
          </w:p>
        </w:tc>
      </w:tr>
      <w:tr>
        <w:tc>
          <w:tcPr>
            <w:tcW w:type="dxa" w:w="5760"/>
            <w:tcMar>
              <w:top w:type="dxa" w:w="80"/>
              <w:left w:type="dxa" w:w="100"/>
              <w:bottom w:type="dxa" w:w="80"/>
              <w:right w:type="dxa" w:w="100"/>
            </w:tcMar>
          </w:tcPr>
          <w:p>
            <w:pPr>
              <w:jc w:val="left"/>
            </w:pPr>
            <w:r>
              <w:rPr>
                <w:b w:val="false"/>
                <w:bCs w:val="false"/>
                <w:color w:val="000000"/>
                <w:sz w:val="20"/>
                <w:szCs w:val="20"/>
              </w:rPr>
              <w:t xml:space="preserve">Original</w:t>
            </w:r>
          </w:p>
        </w:tc>
        <w:tc>
          <w:tcPr>
            <w:tcW w:type="dxa" w:w="3600"/>
            <w:tcMar>
              <w:top w:type="dxa" w:w="80"/>
              <w:left w:type="dxa" w:w="100"/>
              <w:bottom w:type="dxa" w:w="80"/>
              <w:right w:type="dxa" w:w="100"/>
            </w:tcMar>
          </w:tcPr>
          <w:p>
            <w:pPr>
              <w:jc w:val="center"/>
            </w:pPr>
            <w:r>
              <w:rPr>
                <w:b w:val="false"/>
                <w:bCs w:val="false"/>
                <w:color w:val="000000"/>
                <w:sz w:val="20"/>
                <w:szCs w:val="20"/>
              </w:rPr>
              <w:t xml:space="preserve">5,144</w:t>
            </w:r>
          </w:p>
        </w:tc>
      </w:tr>
      <w:tr>
        <w:tc>
          <w:tcPr>
            <w:tcW w:type="dxa" w:w="5760"/>
            <w:shd w:fill="F2F2F2" w:val="clear"/>
            <w:tcMar>
              <w:top w:type="dxa" w:w="80"/>
              <w:left w:type="dxa" w:w="100"/>
              <w:bottom w:type="dxa" w:w="80"/>
              <w:right w:type="dxa" w:w="100"/>
            </w:tcMar>
          </w:tcPr>
          <w:p>
            <w:pPr>
              <w:jc w:val="left"/>
            </w:pPr>
            <w:r>
              <w:rPr>
                <w:b w:val="false"/>
                <w:bCs w:val="false"/>
                <w:color w:val="000000"/>
                <w:sz w:val="20"/>
                <w:szCs w:val="20"/>
              </w:rPr>
              <w:t xml:space="preserve">Removed (mismatched translations)</w:t>
            </w:r>
          </w:p>
        </w:tc>
        <w:tc>
          <w:tcPr>
            <w:tcW w:type="dxa" w:w="3600"/>
            <w:shd w:fill="F2F2F2" w:val="clear"/>
            <w:tcMar>
              <w:top w:type="dxa" w:w="80"/>
              <w:left w:type="dxa" w:w="100"/>
              <w:bottom w:type="dxa" w:w="80"/>
              <w:right w:type="dxa" w:w="100"/>
            </w:tcMar>
          </w:tcPr>
          <w:p>
            <w:pPr>
              <w:jc w:val="center"/>
            </w:pPr>
            <w:r>
              <w:rPr>
                <w:b w:val="false"/>
                <w:bCs w:val="false"/>
                <w:color w:val="000000"/>
                <w:sz w:val="20"/>
                <w:szCs w:val="20"/>
              </w:rPr>
              <w:t xml:space="preserve">416</w:t>
            </w:r>
          </w:p>
        </w:tc>
      </w:tr>
      <w:tr>
        <w:tc>
          <w:tcPr>
            <w:tcW w:type="dxa" w:w="5760"/>
            <w:tcMar>
              <w:top w:type="dxa" w:w="80"/>
              <w:left w:type="dxa" w:w="100"/>
              <w:bottom w:type="dxa" w:w="80"/>
              <w:right w:type="dxa" w:w="100"/>
            </w:tcMar>
          </w:tcPr>
          <w:p>
            <w:pPr>
              <w:jc w:val="left"/>
            </w:pPr>
            <w:r>
              <w:rPr>
                <w:b w:val="false"/>
                <w:bCs w:val="false"/>
                <w:color w:val="000000"/>
                <w:sz w:val="20"/>
                <w:szCs w:val="20"/>
              </w:rPr>
              <w:t xml:space="preserve">Cleaned dataset</w:t>
            </w:r>
          </w:p>
        </w:tc>
        <w:tc>
          <w:tcPr>
            <w:tcW w:type="dxa" w:w="3600"/>
            <w:tcMar>
              <w:top w:type="dxa" w:w="80"/>
              <w:left w:type="dxa" w:w="100"/>
              <w:bottom w:type="dxa" w:w="80"/>
              <w:right w:type="dxa" w:w="100"/>
            </w:tcMar>
          </w:tcPr>
          <w:p>
            <w:pPr>
              <w:jc w:val="center"/>
            </w:pPr>
            <w:r>
              <w:rPr>
                <w:b w:val="false"/>
                <w:bCs w:val="false"/>
                <w:color w:val="000000"/>
                <w:sz w:val="20"/>
                <w:szCs w:val="20"/>
              </w:rPr>
              <w:t xml:space="preserve">4,728</w:t>
            </w:r>
          </w:p>
        </w:tc>
      </w:tr>
    </w:tbl>
    <w:p>
      <w:pPr>
        <w:spacing w:after="220" w:before="60"/>
      </w:pPr>
      <w:r>
        <w:rPr>
          <w:i/>
          <w:iCs/>
          <w:color w:val="555555"/>
          <w:sz w:val="20"/>
          <w:szCs w:val="20"/>
        </w:rPr>
        <w:t xml:space="preserve">Table A6. Final data-quality pruning, Ekegusii track.</w:t>
      </w:r>
    </w:p>
    <w:p>
      <w:pPr>
        <w:spacing w:after="160" w:line="276"/>
      </w:pPr>
      <w:r>
        <w:t xml:space="preserve">The cleaned 4,728-row dataset was then split 80/10/10 into train/validation/test using a stratified split by Domain (random_state = 42), so that the smaller Governance domain is proportionally represented in every split rather than risking near-zero representation in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F5496" w:val="clear"/>
            <w:tcMar>
              <w:top w:type="dxa" w:w="80"/>
              <w:left w:type="dxa" w:w="100"/>
              <w:bottom w:type="dxa" w:w="80"/>
              <w:right w:type="dxa" w:w="100"/>
            </w:tcMar>
          </w:tcPr>
          <w:p>
            <w:pPr>
              <w:jc w:val="left"/>
            </w:pPr>
            <w:r>
              <w:rPr>
                <w:b/>
                <w:bCs/>
                <w:color w:val="FFFFFF"/>
                <w:sz w:val="20"/>
                <w:szCs w:val="20"/>
              </w:rPr>
              <w:t xml:space="preserve">Split</w:t>
            </w:r>
          </w:p>
        </w:tc>
        <w:tc>
          <w:tcPr>
            <w:tcW w:type="dxa" w:w="3120"/>
            <w:shd w:fill="2F5496" w:val="clear"/>
            <w:tcMar>
              <w:top w:type="dxa" w:w="80"/>
              <w:left w:type="dxa" w:w="100"/>
              <w:bottom w:type="dxa" w:w="80"/>
              <w:right w:type="dxa" w:w="100"/>
            </w:tcMar>
          </w:tcPr>
          <w:p>
            <w:pPr>
              <w:jc w:val="center"/>
            </w:pPr>
            <w:r>
              <w:rPr>
                <w:b/>
                <w:bCs/>
                <w:color w:val="FFFFFF"/>
                <w:sz w:val="20"/>
                <w:szCs w:val="20"/>
              </w:rPr>
              <w:t xml:space="preserve">Rows</w:t>
            </w:r>
          </w:p>
        </w:tc>
        <w:tc>
          <w:tcPr>
            <w:tcW w:type="dxa" w:w="3120"/>
            <w:shd w:fill="2F5496" w:val="clear"/>
            <w:tcMar>
              <w:top w:type="dxa" w:w="80"/>
              <w:left w:type="dxa" w:w="100"/>
              <w:bottom w:type="dxa" w:w="80"/>
              <w:right w:type="dxa" w:w="100"/>
            </w:tcMar>
          </w:tcPr>
          <w:p>
            <w:pPr>
              <w:jc w:val="center"/>
            </w:pPr>
            <w:r>
              <w:rPr>
                <w:b/>
                <w:bCs/>
                <w:color w:val="FFFFFF"/>
                <w:sz w:val="20"/>
                <w:szCs w:val="20"/>
              </w:rPr>
              <w:t xml:space="preserve">% of dataset</w:t>
            </w:r>
          </w:p>
        </w:tc>
      </w:tr>
      <w:tr>
        <w:tc>
          <w:tcPr>
            <w:tcW w:type="dxa" w:w="3120"/>
            <w:tcMar>
              <w:top w:type="dxa" w:w="80"/>
              <w:left w:type="dxa" w:w="100"/>
              <w:bottom w:type="dxa" w:w="80"/>
              <w:right w:type="dxa" w:w="100"/>
            </w:tcMar>
          </w:tcPr>
          <w:p>
            <w:pPr>
              <w:jc w:val="left"/>
            </w:pPr>
            <w:r>
              <w:rPr>
                <w:b w:val="false"/>
                <w:bCs w:val="false"/>
                <w:color w:val="000000"/>
                <w:sz w:val="20"/>
                <w:szCs w:val="20"/>
              </w:rPr>
              <w:t xml:space="preserve">Train</w:t>
            </w:r>
          </w:p>
        </w:tc>
        <w:tc>
          <w:tcPr>
            <w:tcW w:type="dxa" w:w="3120"/>
            <w:tcMar>
              <w:top w:type="dxa" w:w="80"/>
              <w:left w:type="dxa" w:w="100"/>
              <w:bottom w:type="dxa" w:w="80"/>
              <w:right w:type="dxa" w:w="100"/>
            </w:tcMar>
          </w:tcPr>
          <w:p>
            <w:pPr>
              <w:jc w:val="center"/>
            </w:pPr>
            <w:r>
              <w:rPr>
                <w:b w:val="false"/>
                <w:bCs w:val="false"/>
                <w:color w:val="000000"/>
                <w:sz w:val="20"/>
                <w:szCs w:val="20"/>
              </w:rPr>
              <w:t xml:space="preserve">3,782</w:t>
            </w:r>
          </w:p>
        </w:tc>
        <w:tc>
          <w:tcPr>
            <w:tcW w:type="dxa" w:w="3120"/>
            <w:tcMar>
              <w:top w:type="dxa" w:w="80"/>
              <w:left w:type="dxa" w:w="100"/>
              <w:bottom w:type="dxa" w:w="80"/>
              <w:right w:type="dxa" w:w="100"/>
            </w:tcMar>
          </w:tcPr>
          <w:p>
            <w:pPr>
              <w:jc w:val="center"/>
            </w:pPr>
            <w:r>
              <w:rPr>
                <w:b w:val="false"/>
                <w:bCs w:val="false"/>
                <w:color w:val="000000"/>
                <w:sz w:val="20"/>
                <w:szCs w:val="20"/>
              </w:rPr>
              <w:t xml:space="preserve">80%</w:t>
            </w:r>
          </w:p>
        </w:tc>
      </w:tr>
      <w:tr>
        <w:tc>
          <w:tcPr>
            <w:tcW w:type="dxa" w:w="3120"/>
            <w:shd w:fill="F2F2F2" w:val="clear"/>
            <w:tcMar>
              <w:top w:type="dxa" w:w="80"/>
              <w:left w:type="dxa" w:w="100"/>
              <w:bottom w:type="dxa" w:w="80"/>
              <w:right w:type="dxa" w:w="100"/>
            </w:tcMar>
          </w:tcPr>
          <w:p>
            <w:pPr>
              <w:jc w:val="left"/>
            </w:pPr>
            <w:r>
              <w:rPr>
                <w:b w:val="false"/>
                <w:bCs w:val="false"/>
                <w:color w:val="000000"/>
                <w:sz w:val="20"/>
                <w:szCs w:val="20"/>
              </w:rPr>
              <w:t xml:space="preserve">Validation</w:t>
            </w:r>
          </w:p>
        </w:tc>
        <w:tc>
          <w:tcPr>
            <w:tcW w:type="dxa" w:w="3120"/>
            <w:shd w:fill="F2F2F2" w:val="clear"/>
            <w:tcMar>
              <w:top w:type="dxa" w:w="80"/>
              <w:left w:type="dxa" w:w="100"/>
              <w:bottom w:type="dxa" w:w="80"/>
              <w:right w:type="dxa" w:w="100"/>
            </w:tcMar>
          </w:tcPr>
          <w:p>
            <w:pPr>
              <w:jc w:val="center"/>
            </w:pPr>
            <w:r>
              <w:rPr>
                <w:b w:val="false"/>
                <w:bCs w:val="false"/>
                <w:color w:val="000000"/>
                <w:sz w:val="20"/>
                <w:szCs w:val="20"/>
              </w:rPr>
              <w:t xml:space="preserve">473</w:t>
            </w:r>
          </w:p>
        </w:tc>
        <w:tc>
          <w:tcPr>
            <w:tcW w:type="dxa" w:w="3120"/>
            <w:shd w:fill="F2F2F2" w:val="clear"/>
            <w:tcMar>
              <w:top w:type="dxa" w:w="80"/>
              <w:left w:type="dxa" w:w="100"/>
              <w:bottom w:type="dxa" w:w="80"/>
              <w:right w:type="dxa" w:w="100"/>
            </w:tcMar>
          </w:tcPr>
          <w:p>
            <w:pPr>
              <w:jc w:val="center"/>
            </w:pPr>
            <w:r>
              <w:rPr>
                <w:b w:val="false"/>
                <w:bCs w:val="false"/>
                <w:color w:val="000000"/>
                <w:sz w:val="20"/>
                <w:szCs w:val="20"/>
              </w:rPr>
              <w:t xml:space="preserve">10%</w:t>
            </w:r>
          </w:p>
        </w:tc>
      </w:tr>
      <w:tr>
        <w:tc>
          <w:tcPr>
            <w:tcW w:type="dxa" w:w="3120"/>
            <w:tcMar>
              <w:top w:type="dxa" w:w="80"/>
              <w:left w:type="dxa" w:w="100"/>
              <w:bottom w:type="dxa" w:w="80"/>
              <w:right w:type="dxa" w:w="100"/>
            </w:tcMar>
          </w:tcPr>
          <w:p>
            <w:pPr>
              <w:jc w:val="left"/>
            </w:pPr>
            <w:r>
              <w:rPr>
                <w:b w:val="false"/>
                <w:bCs w:val="false"/>
                <w:color w:val="000000"/>
                <w:sz w:val="20"/>
                <w:szCs w:val="20"/>
              </w:rPr>
              <w:t xml:space="preserve">Test</w:t>
            </w:r>
          </w:p>
        </w:tc>
        <w:tc>
          <w:tcPr>
            <w:tcW w:type="dxa" w:w="3120"/>
            <w:tcMar>
              <w:top w:type="dxa" w:w="80"/>
              <w:left w:type="dxa" w:w="100"/>
              <w:bottom w:type="dxa" w:w="80"/>
              <w:right w:type="dxa" w:w="100"/>
            </w:tcMar>
          </w:tcPr>
          <w:p>
            <w:pPr>
              <w:jc w:val="center"/>
            </w:pPr>
            <w:r>
              <w:rPr>
                <w:b w:val="false"/>
                <w:bCs w:val="false"/>
                <w:color w:val="000000"/>
                <w:sz w:val="20"/>
                <w:szCs w:val="20"/>
              </w:rPr>
              <w:t xml:space="preserve">473</w:t>
            </w:r>
          </w:p>
        </w:tc>
        <w:tc>
          <w:tcPr>
            <w:tcW w:type="dxa" w:w="3120"/>
            <w:tcMar>
              <w:top w:type="dxa" w:w="80"/>
              <w:left w:type="dxa" w:w="100"/>
              <w:bottom w:type="dxa" w:w="80"/>
              <w:right w:type="dxa" w:w="100"/>
            </w:tcMar>
          </w:tcPr>
          <w:p>
            <w:pPr>
              <w:jc w:val="center"/>
            </w:pPr>
            <w:r>
              <w:rPr>
                <w:b w:val="false"/>
                <w:bCs w:val="false"/>
                <w:color w:val="000000"/>
                <w:sz w:val="20"/>
                <w:szCs w:val="20"/>
              </w:rPr>
              <w:t xml:space="preserve">10%</w:t>
            </w:r>
          </w:p>
        </w:tc>
      </w:tr>
    </w:tbl>
    <w:p>
      <w:pPr>
        <w:spacing w:after="220" w:before="60"/>
      </w:pPr>
      <w:r>
        <w:rPr>
          <w:i/>
          <w:iCs/>
          <w:color w:val="555555"/>
          <w:sz w:val="20"/>
          <w:szCs w:val="20"/>
        </w:rPr>
        <w:t xml:space="preserve">Table A7. Final train/validation/test split, Ekegusii track.</w:t>
      </w:r>
    </w:p>
    <w:p>
      <w:pPr>
        <w:spacing w:after="160" w:line="276"/>
      </w:pPr>
      <w:r>
        <w:t xml:space="preserve">A domain-distribution check confirmed the stratification held closely across splits (e.g. Education ≈30.2% in all three splits, Governance ≈11% in all three), directly addressing the imbalance risk raised in Section A.8.</w:t>
      </w:r>
    </w:p>
    <w:p>
      <w:pPr>
        <w:pStyle w:val="Heading1"/>
        <w:spacing w:after="160" w:before="320"/>
      </w:pPr>
      <w:r>
        <w:t xml:space="preserve">Part B — Dholuo / Somali Track</w:t>
      </w:r>
    </w:p>
    <w:p>
      <w:pPr>
        <w:pStyle w:val="Heading2"/>
        <w:spacing w:after="120" w:before="260"/>
      </w:pPr>
      <w:r>
        <w:t xml:space="preserve">B.1 Dataset Overview and Initial Inspection</w:t>
      </w:r>
    </w:p>
    <w:p>
      <w:pPr>
        <w:spacing w:after="160" w:line="276"/>
      </w:pPr>
      <w:r>
        <w:t xml:space="preserve">The raw dataset (psa_dataset_dholuo_somali.csv) contains 16,029 rows across 8 columns: PSA_Id, Domain, English, Kiswahili, Dholuo, Somali, Class, and Source. Only a single row (PSA_Id 4889) is missing a value — a missing Somali translation, traced to one failed request in the machine-translation script and accepted as a negligible (0.006%) gap. No fully duplicated rows were found; 27 duplicate Dholuo strings and 21 duplicate Somali strings were noted for possible follow-up but, unlike the Ekegusii track, were not deep-investigated or removed at this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2F5496" w:val="clear"/>
            <w:tcMar>
              <w:top w:type="dxa" w:w="80"/>
              <w:left w:type="dxa" w:w="100"/>
              <w:bottom w:type="dxa" w:w="80"/>
              <w:right w:type="dxa" w:w="100"/>
            </w:tcMar>
          </w:tcPr>
          <w:p>
            <w:pPr>
              <w:jc w:val="left"/>
            </w:pPr>
            <w:r>
              <w:rPr>
                <w:b/>
                <w:bCs/>
                <w:color w:val="FFFFFF"/>
                <w:sz w:val="20"/>
                <w:szCs w:val="20"/>
              </w:rPr>
              <w:t xml:space="preserve">Field</w:t>
            </w:r>
          </w:p>
        </w:tc>
        <w:tc>
          <w:tcPr>
            <w:tcW w:type="dxa" w:w="6560"/>
            <w:shd w:fill="2F5496" w:val="clear"/>
            <w:tcMar>
              <w:top w:type="dxa" w:w="80"/>
              <w:left w:type="dxa" w:w="100"/>
              <w:bottom w:type="dxa" w:w="80"/>
              <w:right w:type="dxa" w:w="100"/>
            </w:tcMar>
          </w:tcPr>
          <w:p>
            <w:pPr>
              <w:jc w:val="center"/>
            </w:pPr>
            <w:r>
              <w:rPr>
                <w:b/>
                <w:bCs/>
                <w:color w:val="FFFFFF"/>
                <w:sz w:val="20"/>
                <w:szCs w:val="20"/>
              </w:rPr>
              <w:t xml:space="preserve">Finding</w:t>
            </w:r>
          </w:p>
        </w:tc>
      </w:tr>
      <w:tr>
        <w:tc>
          <w:tcPr>
            <w:tcW w:type="dxa" w:w="2800"/>
            <w:tcMar>
              <w:top w:type="dxa" w:w="80"/>
              <w:left w:type="dxa" w:w="100"/>
              <w:bottom w:type="dxa" w:w="80"/>
              <w:right w:type="dxa" w:w="100"/>
            </w:tcMar>
          </w:tcPr>
          <w:p>
            <w:pPr>
              <w:jc w:val="left"/>
            </w:pPr>
            <w:r>
              <w:rPr>
                <w:b w:val="false"/>
                <w:bCs w:val="false"/>
                <w:color w:val="000000"/>
                <w:sz w:val="20"/>
                <w:szCs w:val="20"/>
              </w:rPr>
              <w:t xml:space="preserve">Domain distribution</w:t>
            </w:r>
          </w:p>
        </w:tc>
        <w:tc>
          <w:tcPr>
            <w:tcW w:type="dxa" w:w="6560"/>
            <w:tcMar>
              <w:top w:type="dxa" w:w="80"/>
              <w:left w:type="dxa" w:w="100"/>
              <w:bottom w:type="dxa" w:w="80"/>
              <w:right w:type="dxa" w:w="100"/>
            </w:tcMar>
          </w:tcPr>
          <w:p>
            <w:pPr>
              <w:jc w:val="center"/>
            </w:pPr>
            <w:r>
              <w:rPr>
                <w:b w:val="false"/>
                <w:bCs w:val="false"/>
                <w:color w:val="000000"/>
                <w:sz w:val="20"/>
                <w:szCs w:val="20"/>
              </w:rPr>
              <w:t xml:space="preserve">Health 3,764; Agriculture 3,645; Education 2,844; Governance 2,748; Security 1,795; Security &amp; Safety 1,233</w:t>
            </w:r>
          </w:p>
        </w:tc>
      </w:tr>
      <w:tr>
        <w:tc>
          <w:tcPr>
            <w:tcW w:type="dxa" w:w="2800"/>
            <w:shd w:fill="F2F2F2" w:val="clear"/>
            <w:tcMar>
              <w:top w:type="dxa" w:w="80"/>
              <w:left w:type="dxa" w:w="100"/>
              <w:bottom w:type="dxa" w:w="80"/>
              <w:right w:type="dxa" w:w="100"/>
            </w:tcMar>
          </w:tcPr>
          <w:p>
            <w:pPr>
              <w:jc w:val="left"/>
            </w:pPr>
            <w:r>
              <w:rPr>
                <w:b w:val="false"/>
                <w:bCs w:val="false"/>
                <w:color w:val="000000"/>
                <w:sz w:val="20"/>
                <w:szCs w:val="20"/>
              </w:rPr>
              <w:t xml:space="preserve">Class / Source</w:t>
            </w:r>
          </w:p>
        </w:tc>
        <w:tc>
          <w:tcPr>
            <w:tcW w:type="dxa" w:w="6560"/>
            <w:shd w:fill="F2F2F2" w:val="clear"/>
            <w:tcMar>
              <w:top w:type="dxa" w:w="80"/>
              <w:left w:type="dxa" w:w="100"/>
              <w:bottom w:type="dxa" w:w="80"/>
              <w:right w:type="dxa" w:w="100"/>
            </w:tcMar>
          </w:tcPr>
          <w:p>
            <w:pPr>
              <w:jc w:val="center"/>
            </w:pPr>
            <w:r>
              <w:rPr>
                <w:b w:val="false"/>
                <w:bCs w:val="false"/>
                <w:color w:val="000000"/>
                <w:sz w:val="20"/>
                <w:szCs w:val="20"/>
              </w:rPr>
              <w:t xml:space="preserve">General / grounded_generated: 10,917 rows; PSA / original_baseline_dataset: 5,112 rows (~2:1 synthetic-to-original)</w:t>
            </w:r>
          </w:p>
        </w:tc>
      </w:tr>
    </w:tbl>
    <w:p>
      <w:pPr>
        <w:spacing w:after="220" w:before="60"/>
      </w:pPr>
      <w:r>
        <w:rPr>
          <w:i/>
          <w:iCs/>
          <w:color w:val="555555"/>
          <w:sz w:val="20"/>
          <w:szCs w:val="20"/>
        </w:rPr>
        <w:t xml:space="preserve">Table B1. Initial inspection summary, Dholuo/Somali dataset.</w:t>
      </w:r>
    </w:p>
    <w:p>
      <w:pPr>
        <w:spacing w:after="160" w:line="276"/>
      </w:pPr>
      <w:r>
        <w:t xml:space="preserve">Security and Security &amp; Safety appear as two separate domain categories rather than one; this was flagged as an unresolved naming inconsistency requiring a team decision, and left as-is (unmerged) throughout the rest of the notebook's analysis.</w:t>
      </w:r>
    </w:p>
    <w:p>
      <w:pPr>
        <w:pStyle w:val="Heading2"/>
        <w:spacing w:after="120" w:before="260"/>
      </w:pPr>
      <w:r>
        <w:t xml:space="preserve">B.2 Quantifying and Normalizing Orthographic Noise</w:t>
      </w:r>
    </w:p>
    <w:p>
      <w:pPr>
        <w:spacing w:after="160" w:line="276"/>
      </w:pPr>
      <w:r>
        <w:t xml:space="preserve">Counts were taken for mojibake, curly-quote variants, and stray brackets across all four text columns (English, Kiswahili, Dholuo, Somali). Mojibake was minimal across the board (0–7 rows per column) and treated as a low-priority spot-check item rather than requiring the multi-pass ftfy pipeline the Ekegusii track needed.</w:t>
      </w:r>
    </w:p>
    <w:p>
      <w:pPr>
        <w:spacing w:after="160" w:line="276"/>
      </w:pPr>
      <w:r>
        <w:t xml:space="preserve">The dataset's real orthographic finding was curly apostrophe/quote inconsistency, concentrated almost entirely in Dholuo: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2F5496" w:val="clear"/>
            <w:tcMar>
              <w:top w:type="dxa" w:w="80"/>
              <w:left w:type="dxa" w:w="100"/>
              <w:bottom w:type="dxa" w:w="80"/>
              <w:right w:type="dxa" w:w="100"/>
            </w:tcMar>
          </w:tcPr>
          <w:p>
            <w:pPr>
              <w:jc w:val="left"/>
            </w:pPr>
            <w:r>
              <w:rPr>
                <w:b/>
                <w:bCs/>
                <w:color w:val="FFFFFF"/>
                <w:sz w:val="20"/>
                <w:szCs w:val="20"/>
              </w:rPr>
              <w:t xml:space="preserve">Column</w:t>
            </w:r>
          </w:p>
        </w:tc>
        <w:tc>
          <w:tcPr>
            <w:tcW w:type="dxa" w:w="3200"/>
            <w:shd w:fill="2F5496" w:val="clear"/>
            <w:tcMar>
              <w:top w:type="dxa" w:w="80"/>
              <w:left w:type="dxa" w:w="100"/>
              <w:bottom w:type="dxa" w:w="80"/>
              <w:right w:type="dxa" w:w="100"/>
            </w:tcMar>
          </w:tcPr>
          <w:p>
            <w:pPr>
              <w:jc w:val="center"/>
            </w:pPr>
            <w:r>
              <w:rPr>
                <w:b/>
                <w:bCs/>
                <w:color w:val="FFFFFF"/>
                <w:sz w:val="20"/>
                <w:szCs w:val="20"/>
              </w:rPr>
              <w:t xml:space="preserve">Curly quote/apostrophe rows (before)</w:t>
            </w:r>
          </w:p>
        </w:tc>
        <w:tc>
          <w:tcPr>
            <w:tcW w:type="dxa" w:w="2960"/>
            <w:shd w:fill="2F5496" w:val="clear"/>
            <w:tcMar>
              <w:top w:type="dxa" w:w="80"/>
              <w:left w:type="dxa" w:w="100"/>
              <w:bottom w:type="dxa" w:w="80"/>
              <w:right w:type="dxa" w:w="100"/>
            </w:tcMar>
          </w:tcPr>
          <w:p>
            <w:pPr>
              <w:jc w:val="center"/>
            </w:pPr>
            <w:r>
              <w:rPr>
                <w:b/>
                <w:bCs/>
                <w:color w:val="FFFFFF"/>
                <w:sz w:val="20"/>
                <w:szCs w:val="20"/>
              </w:rPr>
              <w:t xml:space="preserve">Straight apostrophe rows (before)</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English</w:t>
            </w:r>
          </w:p>
        </w:tc>
        <w:tc>
          <w:tcPr>
            <w:tcW w:type="dxa" w:w="3200"/>
            <w:tcMar>
              <w:top w:type="dxa" w:w="80"/>
              <w:left w:type="dxa" w:w="100"/>
              <w:bottom w:type="dxa" w:w="80"/>
              <w:right w:type="dxa" w:w="100"/>
            </w:tcMar>
          </w:tcPr>
          <w:p>
            <w:pPr>
              <w:jc w:val="center"/>
            </w:pPr>
            <w:r>
              <w:rPr>
                <w:b w:val="false"/>
                <w:bCs w:val="false"/>
                <w:color w:val="000000"/>
                <w:sz w:val="20"/>
                <w:szCs w:val="20"/>
              </w:rPr>
              <w:t xml:space="preserve">0</w:t>
            </w:r>
          </w:p>
        </w:tc>
        <w:tc>
          <w:tcPr>
            <w:tcW w:type="dxa" w:w="2960"/>
            <w:tcMar>
              <w:top w:type="dxa" w:w="80"/>
              <w:left w:type="dxa" w:w="100"/>
              <w:bottom w:type="dxa" w:w="80"/>
              <w:right w:type="dxa" w:w="100"/>
            </w:tcMar>
          </w:tcPr>
          <w:p>
            <w:pPr>
              <w:jc w:val="center"/>
            </w:pPr>
            <w:r>
              <w:rPr>
                <w:b w:val="false"/>
                <w:bCs w:val="false"/>
                <w:color w:val="000000"/>
                <w:sz w:val="20"/>
                <w:szCs w:val="20"/>
              </w:rPr>
              <w:t xml:space="preserve">3,446</w:t>
            </w:r>
          </w:p>
        </w:tc>
      </w:tr>
      <w:tr>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Kiswahili</w:t>
            </w:r>
          </w:p>
        </w:tc>
        <w:tc>
          <w:tcPr>
            <w:tcW w:type="dxa" w:w="3200"/>
            <w:shd w:fill="F2F2F2" w:val="clear"/>
            <w:tcMar>
              <w:top w:type="dxa" w:w="80"/>
              <w:left w:type="dxa" w:w="100"/>
              <w:bottom w:type="dxa" w:w="80"/>
              <w:right w:type="dxa" w:w="100"/>
            </w:tcMar>
          </w:tcPr>
          <w:p>
            <w:pPr>
              <w:jc w:val="center"/>
            </w:pPr>
            <w:r>
              <w:rPr>
                <w:b w:val="false"/>
                <w:bCs w:val="false"/>
                <w:color w:val="000000"/>
                <w:sz w:val="20"/>
                <w:szCs w:val="20"/>
              </w:rPr>
              <w:t xml:space="preserve">0</w:t>
            </w:r>
          </w:p>
        </w:tc>
        <w:tc>
          <w:tcPr>
            <w:tcW w:type="dxa" w:w="2960"/>
            <w:shd w:fill="F2F2F2" w:val="clear"/>
            <w:tcMar>
              <w:top w:type="dxa" w:w="80"/>
              <w:left w:type="dxa" w:w="100"/>
              <w:bottom w:type="dxa" w:w="80"/>
              <w:right w:type="dxa" w:w="100"/>
            </w:tcMar>
          </w:tcPr>
          <w:p>
            <w:pPr>
              <w:jc w:val="center"/>
            </w:pPr>
            <w:r>
              <w:rPr>
                <w:b w:val="false"/>
                <w:bCs w:val="false"/>
                <w:color w:val="000000"/>
                <w:sz w:val="20"/>
                <w:szCs w:val="20"/>
              </w:rPr>
              <w:t xml:space="preserve">117</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Dholuo</w:t>
            </w:r>
          </w:p>
        </w:tc>
        <w:tc>
          <w:tcPr>
            <w:tcW w:type="dxa" w:w="3200"/>
            <w:tcMar>
              <w:top w:type="dxa" w:w="80"/>
              <w:left w:type="dxa" w:w="100"/>
              <w:bottom w:type="dxa" w:w="80"/>
              <w:right w:type="dxa" w:w="100"/>
            </w:tcMar>
          </w:tcPr>
          <w:p>
            <w:pPr>
              <w:jc w:val="center"/>
            </w:pPr>
            <w:r>
              <w:rPr>
                <w:b w:val="false"/>
                <w:bCs w:val="false"/>
                <w:color w:val="000000"/>
                <w:sz w:val="20"/>
                <w:szCs w:val="20"/>
              </w:rPr>
              <w:t xml:space="preserve">8,215</w:t>
            </w:r>
          </w:p>
        </w:tc>
        <w:tc>
          <w:tcPr>
            <w:tcW w:type="dxa" w:w="2960"/>
            <w:tcMar>
              <w:top w:type="dxa" w:w="80"/>
              <w:left w:type="dxa" w:w="100"/>
              <w:bottom w:type="dxa" w:w="80"/>
              <w:right w:type="dxa" w:w="100"/>
            </w:tcMar>
          </w:tcPr>
          <w:p>
            <w:pPr>
              <w:jc w:val="center"/>
            </w:pPr>
            <w:r>
              <w:rPr>
                <w:b w:val="false"/>
                <w:bCs w:val="false"/>
                <w:color w:val="000000"/>
                <w:sz w:val="20"/>
                <w:szCs w:val="20"/>
              </w:rPr>
              <w:t xml:space="preserve">2,768</w:t>
            </w:r>
          </w:p>
        </w:tc>
      </w:tr>
      <w:tr>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Somali</w:t>
            </w:r>
          </w:p>
        </w:tc>
        <w:tc>
          <w:tcPr>
            <w:tcW w:type="dxa" w:w="3200"/>
            <w:shd w:fill="F2F2F2" w:val="clear"/>
            <w:tcMar>
              <w:top w:type="dxa" w:w="80"/>
              <w:left w:type="dxa" w:w="100"/>
              <w:bottom w:type="dxa" w:w="80"/>
              <w:right w:type="dxa" w:w="100"/>
            </w:tcMar>
          </w:tcPr>
          <w:p>
            <w:pPr>
              <w:jc w:val="center"/>
            </w:pPr>
            <w:r>
              <w:rPr>
                <w:b w:val="false"/>
                <w:bCs w:val="false"/>
                <w:color w:val="000000"/>
                <w:sz w:val="20"/>
                <w:szCs w:val="20"/>
              </w:rPr>
              <w:t xml:space="preserve">264</w:t>
            </w:r>
          </w:p>
        </w:tc>
        <w:tc>
          <w:tcPr>
            <w:tcW w:type="dxa" w:w="2960"/>
            <w:shd w:fill="F2F2F2" w:val="clear"/>
            <w:tcMar>
              <w:top w:type="dxa" w:w="80"/>
              <w:left w:type="dxa" w:w="100"/>
              <w:bottom w:type="dxa" w:w="80"/>
              <w:right w:type="dxa" w:w="100"/>
            </w:tcMar>
          </w:tcPr>
          <w:p>
            <w:pPr>
              <w:jc w:val="center"/>
            </w:pPr>
            <w:r>
              <w:rPr>
                <w:b w:val="false"/>
                <w:bCs w:val="false"/>
                <w:color w:val="000000"/>
                <w:sz w:val="20"/>
                <w:szCs w:val="20"/>
              </w:rPr>
              <w:t xml:space="preserve">2,498</w:t>
            </w:r>
          </w:p>
        </w:tc>
      </w:tr>
    </w:tbl>
    <w:p>
      <w:pPr>
        <w:spacing w:after="220" w:before="60"/>
      </w:pPr>
      <w:r>
        <w:rPr>
          <w:i/>
          <w:iCs/>
          <w:color w:val="555555"/>
          <w:sz w:val="20"/>
          <w:szCs w:val="20"/>
        </w:rPr>
        <w:t xml:space="preserve">Table B2. Curly vs. straight quote/apostrophe counts before normalization.</w:t>
      </w:r>
    </w:p>
    <w:p>
      <w:pPr>
        <w:spacing w:after="160" w:line="276"/>
      </w:pPr>
      <w:r>
        <w:t xml:space="preserve">Because Dholuo uses the apostrophe orthographically for specific phonemes (e.g. the ng' digraph), curly and straight variants were standardized to a single straight-ASCII form — a consistency fix, not a content removal, since the underlying orthography needed to be preserved. After normalization, curly-variant counts dropped to 0 in both Dholuo and Somali, and Dholuo's straight-apostrophe count rose to 10,975, absorbing the previously-curly rows into one consistent representation.</w:t>
      </w:r>
    </w:p>
    <w:p>
      <w:pPr>
        <w:pStyle w:val="Heading2"/>
        <w:spacing w:after="120" w:before="260"/>
      </w:pPr>
      <w:r>
        <w:t xml:space="preserve">B.3 Code-Switching Detection</w:t>
      </w:r>
    </w:p>
    <w:p>
      <w:pPr>
        <w:spacing w:after="160" w:line="276"/>
      </w:pPr>
      <w:r>
        <w:t xml:space="preserve">Detection proceeded in stages, each catching and correcting an over- or under-broad prior step, explicitly modeled on the corrections the Ekegusii track had already been through.</w:t>
      </w:r>
    </w:p>
    <w:p>
      <w:pPr>
        <w:pStyle w:val="Heading3"/>
        <w:spacing w:after="100" w:before="200"/>
      </w:pPr>
      <w:r>
        <w:t xml:space="preserve">B.3.1 Boilerplate Check</w:t>
      </w:r>
    </w:p>
    <w:p>
      <w:pPr>
        <w:spacing w:after="160" w:line="276"/>
      </w:pPr>
      <w:r>
        <w:t xml:space="preserve">A digit-run/address heuristic (P.O. Box, OFFICE/FLOOR/BUILDING/ROAD, long digit runs) flagged 25 Dholuo and 26 Somali rows. Unlike the Ekegusii track, breaking these matches down by sub-pattern showed they were not scraped address blocks but legitimate embedded content, such as real hotline phone numbers inside genuine PSA text — so no rows were removed for boilerplate in this track.</w:t>
      </w:r>
    </w:p>
    <w:p>
      <w:pPr>
        <w:pStyle w:val="Heading3"/>
        <w:spacing w:after="100" w:before="200"/>
      </w:pPr>
      <w:r>
        <w:t xml:space="preserve">B.3.2 Acronym Detection (two iterations)</w:t>
      </w:r>
    </w:p>
    <w:p>
      <w:pPr>
        <w:spacing w:after="160" w:line="276"/>
      </w:pPr>
      <w:r>
        <w:t xml:space="preserve">A first regex (matching runs of 2+ capital letters) incorrectly split on apostrophes and hyphens, fragmenting Dholuo's orthographic ng' digraph (e.g. splitting "NG'ANO" into spurious tokens "NG" and "ANO") and conflating this with the genuine acronym NG-CDF (a government development fund). The pattern was corrected to preserve apostrophes/hyphens within tokens, correctly isolating NG-CDF (768 occurrences) as a real acronym while excluding the false-positive digraph fragments. This produced 304 candidate code-switch tokens, headed by clearly genuine institutional/health acronyms: HIV (1,136), SHA (1,075), HPV (1,057), KALRO (1,045), TB (885), EACC (875), IEBC (865), KCSE (827), and others.</w:t>
      </w:r>
    </w:p>
    <w:p>
      <w:pPr>
        <w:pStyle w:val="Heading3"/>
        <w:spacing w:after="100" w:before="200"/>
      </w:pPr>
      <w:r>
        <w:t xml:space="preserve">B.3.3 Manual Categorization of the Long Tail</w:t>
      </w:r>
    </w:p>
    <w:p>
      <w:pPr>
        <w:spacing w:after="160" w:line="276"/>
      </w:pPr>
      <w:r>
        <w:t xml:space="preserve">423 low-frequency tokens (count ≤ 5) were manually reviewed and found to fall into five distinct categories: genuine institutional acronyms (e.g. KEMRI, USAID, SACCO); grammatical function words caught by capitalization (e.g. Dholuo "MAG"/"NE", Somali "KA"/"OO"); full Dholuo/Somali content words that happened to be written in all caps (e.g. WASAARADDA "ministry"), flagged as a possible upstream scraping pattern; genuine proper nouns (e.g. Uhuru Kenyatta, Bungoma); and embedded English captions, handled separately below.</w:t>
      </w:r>
    </w:p>
    <w:p>
      <w:pPr>
        <w:pStyle w:val="Heading3"/>
        <w:spacing w:after="100" w:before="200"/>
      </w:pPr>
      <w:r>
        <w:t xml:space="preserve">B.3.4 Embedded English Captions</w:t>
      </w:r>
    </w:p>
    <w:p>
      <w:pPr>
        <w:spacing w:after="160" w:line="276"/>
      </w:pPr>
      <w:r>
        <w:t xml:space="preserve">An initial all-caps detection pattern over-matched badly: it flagged 21 Dholuo and 28 Somali rows, but manual review showed only 2 were genuine English captions — the rest were legitimate Dholuo/Somali sentences that happened to be written entirely in capitals (e.g. a real Dholuo headline, "RIPOT MAR CHALO MAR CHOTH TUO..."). This over-broad strip was reverted and the dataset reloaded from source. The detector was corrected to additionally require at least 2 recognized English signal words within the matched span; re-run on the fresh data, it correctly identified exactly 5 genuine embedded English captions (1 Dholuo, 4 Somali), each confirmed individually before stripping, with 0 rows still flagged afterward.</w:t>
      </w:r>
    </w:p>
    <w:p>
      <w:pPr>
        <w:spacing w:after="160" w:line="276"/>
      </w:pPr>
      <w:r>
        <w:t xml:space="preserve">One known, documented limitation remains: PSA_Id 2831 (Somali) contains a genuine English caption ("eCITIZEN FIRST ANNIVERSARY") that the detector did not catch, because it begins with a lowercase brand name ("eCitizen") rather than an all-caps word. This single-row edge case was left unfixed rather than further complicating the regex, and documented in the known-issues log.</w:t>
      </w:r>
    </w:p>
    <w:p>
      <w:pPr>
        <w:pStyle w:val="Heading3"/>
        <w:spacing w:after="100" w:before="200"/>
      </w:pPr>
      <w:r>
        <w:t xml:space="preserve">B.3.5 Glossary Construction</w:t>
      </w:r>
    </w:p>
    <w:p>
      <w:pPr>
        <w:spacing w:after="160" w:line="276"/>
      </w:pPr>
      <w:r>
        <w:t xml:space="preserve">289 confirmed institutional/health acronym tokens were carried forward to glossary construction, combining two sources for full names: automatic extraction of "Full Name (ACRONYM)" patterns from a project reference file (kenya_facts.json), and manual lookup of well-known institutions not covered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shd w:fill="2F5496" w:val="clear"/>
            <w:tcMar>
              <w:top w:type="dxa" w:w="80"/>
              <w:left w:type="dxa" w:w="100"/>
              <w:bottom w:type="dxa" w:w="80"/>
              <w:right w:type="dxa" w:w="100"/>
            </w:tcMar>
          </w:tcPr>
          <w:p>
            <w:pPr>
              <w:jc w:val="left"/>
            </w:pPr>
            <w:r>
              <w:rPr>
                <w:b/>
                <w:bCs/>
                <w:color w:val="FFFFFF"/>
                <w:sz w:val="20"/>
                <w:szCs w:val="20"/>
              </w:rPr>
              <w:t xml:space="preserve">Full-name source</w:t>
            </w:r>
          </w:p>
        </w:tc>
        <w:tc>
          <w:tcPr>
            <w:tcW w:type="dxa" w:w="3600"/>
            <w:shd w:fill="2F5496" w:val="clear"/>
            <w:tcMar>
              <w:top w:type="dxa" w:w="80"/>
              <w:left w:type="dxa" w:w="100"/>
              <w:bottom w:type="dxa" w:w="80"/>
              <w:right w:type="dxa" w:w="100"/>
            </w:tcMar>
          </w:tcPr>
          <w:p>
            <w:pPr>
              <w:jc w:val="center"/>
            </w:pPr>
            <w:r>
              <w:rPr>
                <w:b/>
                <w:bCs/>
                <w:color w:val="FFFFFF"/>
                <w:sz w:val="20"/>
                <w:szCs w:val="20"/>
              </w:rPr>
              <w:t xml:space="preserve">Terms resolved</w:t>
            </w:r>
          </w:p>
        </w:tc>
      </w:tr>
      <w:tr>
        <w:tc>
          <w:tcPr>
            <w:tcW w:type="dxa" w:w="5760"/>
            <w:tcMar>
              <w:top w:type="dxa" w:w="80"/>
              <w:left w:type="dxa" w:w="100"/>
              <w:bottom w:type="dxa" w:w="80"/>
              <w:right w:type="dxa" w:w="100"/>
            </w:tcMar>
          </w:tcPr>
          <w:p>
            <w:pPr>
              <w:jc w:val="left"/>
            </w:pPr>
            <w:r>
              <w:rPr>
                <w:b w:val="false"/>
                <w:bCs w:val="false"/>
                <w:color w:val="000000"/>
                <w:sz w:val="20"/>
                <w:szCs w:val="20"/>
              </w:rPr>
              <w:t xml:space="preserve">kenya_facts.json (verified)</w:t>
            </w:r>
          </w:p>
        </w:tc>
        <w:tc>
          <w:tcPr>
            <w:tcW w:type="dxa" w:w="3600"/>
            <w:tcMar>
              <w:top w:type="dxa" w:w="80"/>
              <w:left w:type="dxa" w:w="100"/>
              <w:bottom w:type="dxa" w:w="80"/>
              <w:right w:type="dxa" w:w="100"/>
            </w:tcMar>
          </w:tcPr>
          <w:p>
            <w:pPr>
              <w:jc w:val="center"/>
            </w:pPr>
            <w:r>
              <w:rPr>
                <w:b w:val="false"/>
                <w:bCs w:val="false"/>
                <w:color w:val="000000"/>
                <w:sz w:val="20"/>
                <w:szCs w:val="20"/>
              </w:rPr>
              <w:t xml:space="preserve">15</w:t>
            </w:r>
          </w:p>
        </w:tc>
      </w:tr>
      <w:tr>
        <w:tc>
          <w:tcPr>
            <w:tcW w:type="dxa" w:w="5760"/>
            <w:shd w:fill="F2F2F2" w:val="clear"/>
            <w:tcMar>
              <w:top w:type="dxa" w:w="80"/>
              <w:left w:type="dxa" w:w="100"/>
              <w:bottom w:type="dxa" w:w="80"/>
              <w:right w:type="dxa" w:w="100"/>
            </w:tcMar>
          </w:tcPr>
          <w:p>
            <w:pPr>
              <w:jc w:val="left"/>
            </w:pPr>
            <w:r>
              <w:rPr>
                <w:b w:val="false"/>
                <w:bCs w:val="false"/>
                <w:color w:val="000000"/>
                <w:sz w:val="20"/>
                <w:szCs w:val="20"/>
              </w:rPr>
              <w:t xml:space="preserve">Manual lookup (high-confidence)</w:t>
            </w:r>
          </w:p>
        </w:tc>
        <w:tc>
          <w:tcPr>
            <w:tcW w:type="dxa" w:w="3600"/>
            <w:shd w:fill="F2F2F2" w:val="clear"/>
            <w:tcMar>
              <w:top w:type="dxa" w:w="80"/>
              <w:left w:type="dxa" w:w="100"/>
              <w:bottom w:type="dxa" w:w="80"/>
              <w:right w:type="dxa" w:w="100"/>
            </w:tcMar>
          </w:tcPr>
          <w:p>
            <w:pPr>
              <w:jc w:val="center"/>
            </w:pPr>
            <w:r>
              <w:rPr>
                <w:b w:val="false"/>
                <w:bCs w:val="false"/>
                <w:color w:val="000000"/>
                <w:sz w:val="20"/>
                <w:szCs w:val="20"/>
              </w:rPr>
              <w:t xml:space="preserve">45</w:t>
            </w:r>
          </w:p>
        </w:tc>
      </w:tr>
      <w:tr>
        <w:tc>
          <w:tcPr>
            <w:tcW w:type="dxa" w:w="5760"/>
            <w:tcMar>
              <w:top w:type="dxa" w:w="80"/>
              <w:left w:type="dxa" w:w="100"/>
              <w:bottom w:type="dxa" w:w="80"/>
              <w:right w:type="dxa" w:w="100"/>
            </w:tcMar>
          </w:tcPr>
          <w:p>
            <w:pPr>
              <w:jc w:val="left"/>
            </w:pPr>
            <w:r>
              <w:rPr>
                <w:b w:val="false"/>
                <w:bCs w:val="false"/>
                <w:color w:val="000000"/>
                <w:sz w:val="20"/>
                <w:szCs w:val="20"/>
              </w:rPr>
              <w:t xml:space="preserve">Needs native-speaker / manual review</w:t>
            </w:r>
          </w:p>
        </w:tc>
        <w:tc>
          <w:tcPr>
            <w:tcW w:type="dxa" w:w="3600"/>
            <w:tcMar>
              <w:top w:type="dxa" w:w="80"/>
              <w:left w:type="dxa" w:w="100"/>
              <w:bottom w:type="dxa" w:w="80"/>
              <w:right w:type="dxa" w:w="100"/>
            </w:tcMar>
          </w:tcPr>
          <w:p>
            <w:pPr>
              <w:jc w:val="center"/>
            </w:pPr>
            <w:r>
              <w:rPr>
                <w:b w:val="false"/>
                <w:bCs w:val="false"/>
                <w:color w:val="000000"/>
                <w:sz w:val="20"/>
                <w:szCs w:val="20"/>
              </w:rPr>
              <w:t xml:space="preserve">229</w:t>
            </w:r>
          </w:p>
        </w:tc>
      </w:tr>
      <w:tr>
        <w:tc>
          <w:tcPr>
            <w:tcW w:type="dxa" w:w="5760"/>
            <w:shd w:fill="F2F2F2" w:val="clear"/>
            <w:tcMar>
              <w:top w:type="dxa" w:w="80"/>
              <w:left w:type="dxa" w:w="100"/>
              <w:bottom w:type="dxa" w:w="80"/>
              <w:right w:type="dxa" w:w="100"/>
            </w:tcMar>
          </w:tcPr>
          <w:p>
            <w:pPr>
              <w:jc w:val="left"/>
            </w:pPr>
            <w:r>
              <w:rPr>
                <w:b w:val="false"/>
                <w:bCs w:val="false"/>
                <w:color w:val="000000"/>
                <w:sz w:val="20"/>
                <w:szCs w:val="20"/>
              </w:rPr>
              <w:t xml:space="preserve">Total glossary entries</w:t>
            </w:r>
          </w:p>
        </w:tc>
        <w:tc>
          <w:tcPr>
            <w:tcW w:type="dxa" w:w="3600"/>
            <w:shd w:fill="F2F2F2" w:val="clear"/>
            <w:tcMar>
              <w:top w:type="dxa" w:w="80"/>
              <w:left w:type="dxa" w:w="100"/>
              <w:bottom w:type="dxa" w:w="80"/>
              <w:right w:type="dxa" w:w="100"/>
            </w:tcMar>
          </w:tcPr>
          <w:p>
            <w:pPr>
              <w:jc w:val="center"/>
            </w:pPr>
            <w:r>
              <w:rPr>
                <w:b w:val="false"/>
                <w:bCs w:val="false"/>
                <w:color w:val="000000"/>
                <w:sz w:val="20"/>
                <w:szCs w:val="20"/>
              </w:rPr>
              <w:t xml:space="preserve">289</w:t>
            </w:r>
          </w:p>
        </w:tc>
      </w:tr>
    </w:tbl>
    <w:p>
      <w:pPr>
        <w:spacing w:after="220" w:before="60"/>
      </w:pPr>
      <w:r>
        <w:rPr>
          <w:i/>
          <w:iCs/>
          <w:color w:val="555555"/>
          <w:sz w:val="20"/>
          <w:szCs w:val="20"/>
        </w:rPr>
        <w:t xml:space="preserve">Table B3. Glossary construction and resolution status, Dholuo/Somali track.</w:t>
      </w:r>
    </w:p>
    <w:p>
      <w:pPr>
        <w:spacing w:after="160" w:line="276"/>
      </w:pPr>
      <w:r>
        <w:t xml:space="preserve">292 lower-frequency tokens (below the glossary-confirmed threshold) were exported separately to tokens_for_native_review.csv with blank Is_Acronym/Full_Name columns, for native-speaker judgment rather than automated guessing. Canonical_Dholuo and Canonical_Somali glossary columns were left blank throughout, deliberately, pending native-speaker input.</w:t>
      </w:r>
    </w:p>
    <w:p>
      <w:pPr>
        <w:pStyle w:val="Heading2"/>
        <w:spacing w:after="120" w:before="260"/>
      </w:pPr>
      <w:r>
        <w:t xml:space="preserve">B.4 Tokenization Analysis</w:t>
      </w:r>
    </w:p>
    <w:p>
      <w:pPr>
        <w:spacing w:after="160" w:line="276"/>
      </w:pPr>
      <w:r>
        <w:t xml:space="preserve">Using the same mBERT-based proxy methodology as the Ekegusii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shd w:fill="2F5496" w:val="clear"/>
            <w:tcMar>
              <w:top w:type="dxa" w:w="80"/>
              <w:left w:type="dxa" w:w="100"/>
              <w:bottom w:type="dxa" w:w="80"/>
              <w:right w:type="dxa" w:w="100"/>
            </w:tcMar>
          </w:tcPr>
          <w:p>
            <w:pPr>
              <w:jc w:val="left"/>
            </w:pPr>
            <w:r>
              <w:rPr>
                <w:b/>
                <w:bCs/>
                <w:color w:val="FFFFFF"/>
                <w:sz w:val="20"/>
                <w:szCs w:val="20"/>
              </w:rPr>
              <w:t xml:space="preserve">Language</w:t>
            </w:r>
          </w:p>
        </w:tc>
        <w:tc>
          <w:tcPr>
            <w:tcW w:type="dxa" w:w="3510"/>
            <w:shd w:fill="2F5496" w:val="clear"/>
            <w:tcMar>
              <w:top w:type="dxa" w:w="80"/>
              <w:left w:type="dxa" w:w="100"/>
              <w:bottom w:type="dxa" w:w="80"/>
              <w:right w:type="dxa" w:w="100"/>
            </w:tcMar>
          </w:tcPr>
          <w:p>
            <w:pPr>
              <w:jc w:val="center"/>
            </w:pPr>
            <w:r>
              <w:rPr>
                <w:b/>
                <w:bCs/>
                <w:color w:val="FFFFFF"/>
                <w:sz w:val="20"/>
                <w:szCs w:val="20"/>
              </w:rPr>
              <w:t xml:space="preserve">Tokens-per-word ratio</w:t>
            </w:r>
          </w:p>
        </w:tc>
        <w:tc>
          <w:tcPr>
            <w:tcW w:type="dxa" w:w="3510"/>
            <w:shd w:fill="2F5496" w:val="clear"/>
            <w:tcMar>
              <w:top w:type="dxa" w:w="80"/>
              <w:left w:type="dxa" w:w="100"/>
              <w:bottom w:type="dxa" w:w="80"/>
              <w:right w:type="dxa" w:w="100"/>
            </w:tcMar>
          </w:tcPr>
          <w:p>
            <w:pPr>
              <w:jc w:val="center"/>
            </w:pPr>
            <w:r>
              <w:rPr>
                <w:b/>
                <w:bCs/>
                <w:color w:val="FFFFFF"/>
                <w:sz w:val="20"/>
                <w:szCs w:val="20"/>
              </w:rPr>
              <w:t xml:space="preserve">Avg. word length (chars)</w:t>
            </w:r>
          </w:p>
        </w:tc>
      </w:tr>
      <w:tr>
        <w:tc>
          <w:tcPr>
            <w:tcW w:type="dxa" w:w="2340"/>
            <w:tcMar>
              <w:top w:type="dxa" w:w="80"/>
              <w:left w:type="dxa" w:w="100"/>
              <w:bottom w:type="dxa" w:w="80"/>
              <w:right w:type="dxa" w:w="100"/>
            </w:tcMar>
          </w:tcPr>
          <w:p>
            <w:pPr>
              <w:jc w:val="left"/>
            </w:pPr>
            <w:r>
              <w:rPr>
                <w:b w:val="false"/>
                <w:bCs w:val="false"/>
                <w:color w:val="000000"/>
                <w:sz w:val="20"/>
                <w:szCs w:val="20"/>
              </w:rPr>
              <w:t xml:space="preserve">English</w:t>
            </w:r>
          </w:p>
        </w:tc>
        <w:tc>
          <w:tcPr>
            <w:tcW w:type="dxa" w:w="3510"/>
            <w:tcMar>
              <w:top w:type="dxa" w:w="80"/>
              <w:left w:type="dxa" w:w="100"/>
              <w:bottom w:type="dxa" w:w="80"/>
              <w:right w:type="dxa" w:w="100"/>
            </w:tcMar>
          </w:tcPr>
          <w:p>
            <w:pPr>
              <w:jc w:val="center"/>
            </w:pPr>
            <w:r>
              <w:rPr>
                <w:b w:val="false"/>
                <w:bCs w:val="false"/>
                <w:color w:val="000000"/>
                <w:sz w:val="20"/>
                <w:szCs w:val="20"/>
              </w:rPr>
              <w:t xml:space="preserve">1.58</w:t>
            </w:r>
          </w:p>
        </w:tc>
        <w:tc>
          <w:tcPr>
            <w:tcW w:type="dxa" w:w="3510"/>
            <w:tcMar>
              <w:top w:type="dxa" w:w="80"/>
              <w:left w:type="dxa" w:w="100"/>
              <w:bottom w:type="dxa" w:w="80"/>
              <w:right w:type="dxa" w:w="100"/>
            </w:tcMar>
          </w:tcPr>
          <w:p>
            <w:pPr>
              <w:jc w:val="center"/>
            </w:pPr>
            <w:r>
              <w:rPr>
                <w:b w:val="false"/>
                <w:bCs w:val="false"/>
                <w:color w:val="000000"/>
                <w:sz w:val="20"/>
                <w:szCs w:val="20"/>
              </w:rPr>
              <w:t xml:space="preserve">6.32</w:t>
            </w:r>
          </w:p>
        </w:tc>
      </w:tr>
      <w:tr>
        <w:tc>
          <w:tcPr>
            <w:tcW w:type="dxa" w:w="2340"/>
            <w:shd w:fill="F2F2F2" w:val="clear"/>
            <w:tcMar>
              <w:top w:type="dxa" w:w="80"/>
              <w:left w:type="dxa" w:w="100"/>
              <w:bottom w:type="dxa" w:w="80"/>
              <w:right w:type="dxa" w:w="100"/>
            </w:tcMar>
          </w:tcPr>
          <w:p>
            <w:pPr>
              <w:jc w:val="left"/>
            </w:pPr>
            <w:r>
              <w:rPr>
                <w:b w:val="false"/>
                <w:bCs w:val="false"/>
                <w:color w:val="000000"/>
                <w:sz w:val="20"/>
                <w:szCs w:val="20"/>
              </w:rPr>
              <w:t xml:space="preserve">Kiswahili</w:t>
            </w:r>
          </w:p>
        </w:tc>
        <w:tc>
          <w:tcPr>
            <w:tcW w:type="dxa" w:w="3510"/>
            <w:shd w:fill="F2F2F2" w:val="clear"/>
            <w:tcMar>
              <w:top w:type="dxa" w:w="80"/>
              <w:left w:type="dxa" w:w="100"/>
              <w:bottom w:type="dxa" w:w="80"/>
              <w:right w:type="dxa" w:w="100"/>
            </w:tcMar>
          </w:tcPr>
          <w:p>
            <w:pPr>
              <w:jc w:val="center"/>
            </w:pPr>
            <w:r>
              <w:rPr>
                <w:b w:val="false"/>
                <w:bCs w:val="false"/>
                <w:color w:val="000000"/>
                <w:sz w:val="20"/>
                <w:szCs w:val="20"/>
              </w:rPr>
              <w:t xml:space="preserve">2.23</w:t>
            </w:r>
          </w:p>
        </w:tc>
        <w:tc>
          <w:tcPr>
            <w:tcW w:type="dxa" w:w="3510"/>
            <w:shd w:fill="F2F2F2" w:val="clear"/>
            <w:tcMar>
              <w:top w:type="dxa" w:w="80"/>
              <w:left w:type="dxa" w:w="100"/>
              <w:bottom w:type="dxa" w:w="80"/>
              <w:right w:type="dxa" w:w="100"/>
            </w:tcMar>
          </w:tcPr>
          <w:p>
            <w:pPr>
              <w:jc w:val="center"/>
            </w:pPr>
            <w:r>
              <w:rPr>
                <w:b w:val="false"/>
                <w:bCs w:val="false"/>
                <w:color w:val="000000"/>
                <w:sz w:val="20"/>
                <w:szCs w:val="20"/>
              </w:rPr>
              <w:t xml:space="preserve">5.32</w:t>
            </w:r>
          </w:p>
        </w:tc>
      </w:tr>
      <w:tr>
        <w:tc>
          <w:tcPr>
            <w:tcW w:type="dxa" w:w="2340"/>
            <w:tcMar>
              <w:top w:type="dxa" w:w="80"/>
              <w:left w:type="dxa" w:w="100"/>
              <w:bottom w:type="dxa" w:w="80"/>
              <w:right w:type="dxa" w:w="100"/>
            </w:tcMar>
          </w:tcPr>
          <w:p>
            <w:pPr>
              <w:jc w:val="left"/>
            </w:pPr>
            <w:r>
              <w:rPr>
                <w:b w:val="false"/>
                <w:bCs w:val="false"/>
                <w:color w:val="000000"/>
                <w:sz w:val="20"/>
                <w:szCs w:val="20"/>
              </w:rPr>
              <w:t xml:space="preserve">Dholuo</w:t>
            </w:r>
          </w:p>
        </w:tc>
        <w:tc>
          <w:tcPr>
            <w:tcW w:type="dxa" w:w="3510"/>
            <w:tcMar>
              <w:top w:type="dxa" w:w="80"/>
              <w:left w:type="dxa" w:w="100"/>
              <w:bottom w:type="dxa" w:w="80"/>
              <w:right w:type="dxa" w:w="100"/>
            </w:tcMar>
          </w:tcPr>
          <w:p>
            <w:pPr>
              <w:jc w:val="center"/>
            </w:pPr>
            <w:r>
              <w:rPr>
                <w:b w:val="false"/>
                <w:bCs w:val="false"/>
                <w:color w:val="000000"/>
                <w:sz w:val="20"/>
                <w:szCs w:val="20"/>
              </w:rPr>
              <w:t xml:space="preserve">1.98</w:t>
            </w:r>
          </w:p>
        </w:tc>
        <w:tc>
          <w:tcPr>
            <w:tcW w:type="dxa" w:w="3510"/>
            <w:tcMar>
              <w:top w:type="dxa" w:w="80"/>
              <w:left w:type="dxa" w:w="100"/>
              <w:bottom w:type="dxa" w:w="80"/>
              <w:right w:type="dxa" w:w="100"/>
            </w:tcMar>
          </w:tcPr>
          <w:p>
            <w:pPr>
              <w:jc w:val="center"/>
            </w:pPr>
            <w:r>
              <w:rPr>
                <w:b w:val="false"/>
                <w:bCs w:val="false"/>
                <w:color w:val="000000"/>
                <w:sz w:val="20"/>
                <w:szCs w:val="20"/>
              </w:rPr>
              <w:t xml:space="preserve">4.30</w:t>
            </w:r>
          </w:p>
        </w:tc>
      </w:tr>
      <w:tr>
        <w:tc>
          <w:tcPr>
            <w:tcW w:type="dxa" w:w="2340"/>
            <w:shd w:fill="F2F2F2" w:val="clear"/>
            <w:tcMar>
              <w:top w:type="dxa" w:w="80"/>
              <w:left w:type="dxa" w:w="100"/>
              <w:bottom w:type="dxa" w:w="80"/>
              <w:right w:type="dxa" w:w="100"/>
            </w:tcMar>
          </w:tcPr>
          <w:p>
            <w:pPr>
              <w:jc w:val="left"/>
            </w:pPr>
            <w:r>
              <w:rPr>
                <w:b w:val="false"/>
                <w:bCs w:val="false"/>
                <w:color w:val="000000"/>
                <w:sz w:val="20"/>
                <w:szCs w:val="20"/>
              </w:rPr>
              <w:t xml:space="preserve">Somali</w:t>
            </w:r>
          </w:p>
        </w:tc>
        <w:tc>
          <w:tcPr>
            <w:tcW w:type="dxa" w:w="3510"/>
            <w:shd w:fill="F2F2F2" w:val="clear"/>
            <w:tcMar>
              <w:top w:type="dxa" w:w="80"/>
              <w:left w:type="dxa" w:w="100"/>
              <w:bottom w:type="dxa" w:w="80"/>
              <w:right w:type="dxa" w:w="100"/>
            </w:tcMar>
          </w:tcPr>
          <w:p>
            <w:pPr>
              <w:jc w:val="center"/>
            </w:pPr>
            <w:r>
              <w:rPr>
                <w:b w:val="false"/>
                <w:bCs w:val="false"/>
                <w:color w:val="000000"/>
                <w:sz w:val="20"/>
                <w:szCs w:val="20"/>
              </w:rPr>
              <w:t xml:space="preserve">2.86</w:t>
            </w:r>
          </w:p>
        </w:tc>
        <w:tc>
          <w:tcPr>
            <w:tcW w:type="dxa" w:w="3510"/>
            <w:shd w:fill="F2F2F2" w:val="clear"/>
            <w:tcMar>
              <w:top w:type="dxa" w:w="80"/>
              <w:left w:type="dxa" w:w="100"/>
              <w:bottom w:type="dxa" w:w="80"/>
              <w:right w:type="dxa" w:w="100"/>
            </w:tcMar>
          </w:tcPr>
          <w:p>
            <w:pPr>
              <w:jc w:val="center"/>
            </w:pPr>
            <w:r>
              <w:rPr>
                <w:b w:val="false"/>
                <w:bCs w:val="false"/>
                <w:color w:val="000000"/>
                <w:sz w:val="20"/>
                <w:szCs w:val="20"/>
              </w:rPr>
              <w:t xml:space="preserve">6.36</w:t>
            </w:r>
          </w:p>
        </w:tc>
      </w:tr>
    </w:tbl>
    <w:p>
      <w:pPr>
        <w:spacing w:after="220" w:before="60"/>
      </w:pPr>
      <w:r>
        <w:rPr>
          <w:i/>
          <w:iCs/>
          <w:color w:val="555555"/>
          <w:sz w:val="20"/>
          <w:szCs w:val="20"/>
        </w:rPr>
        <w:t xml:space="preserve">Table B4. Tokenization statistics by language, Dholuo/Somali track.</w:t>
      </w:r>
    </w:p>
    <w:p>
      <w:pPr>
        <w:spacing w:after="160" w:line="276"/>
      </w:pPr>
      <w:r>
        <w:t xml:space="preserve">English and Kiswahili ratios closely match the Ekegusii track's own baseline measurements (1.48 and 2.21 respectively), confirming consistent methodology across tracks. Somali (2.86) shows the highest fragmentation of either track, consistent with no Somali-specific coverage in mBERT's vocabulary. Dholuo's comparatively lower ratio (1.98) was explicitly checked against a confound: it is explained by Dholuo's shorter average word length (4.30 characters, notably shorter than Somali's 6.36 and even English's 6.32), not by better tokenizer coverage — a measurement artifact rather than evidence that Dholuo needs less training data.</w:t>
      </w:r>
    </w:p>
    <w:p>
      <w:pPr>
        <w:pStyle w:val="Heading2"/>
        <w:spacing w:after="120" w:before="260"/>
      </w:pPr>
      <w:r>
        <w:t xml:space="preserve">B.5 Exploratory Data Analysis</w:t>
      </w:r>
    </w:p>
    <w:p>
      <w:pPr>
        <w:pStyle w:val="Heading3"/>
        <w:spacing w:after="100" w:before="200"/>
      </w:pPr>
      <w:r>
        <w:t xml:space="preserve">B.5.1 Domain Distribution</w:t>
      </w:r>
    </w:p>
    <w:p>
      <w:pPr>
        <w:spacing w:after="160" w:line="276"/>
      </w:pPr>
      <w:r>
        <w:t xml:space="preserve">Health (23.5%) and Agriculture (22.7%) are the largest domains, Education (17.7%) and Governance (17.1%) mid-sized, and Security (11.2%) plus Security &amp; Safety (7.7%) smallest — but combined, these two security-related categories would form the third-largest domain (18.9%), close to Education and Governance rather than two easily-overlooked small slices. This was flagged as needing a team decision on merging before the domain split is presented as final.</w:t>
      </w:r>
    </w:p>
    <w:p>
      <w:pPr>
        <w:pStyle w:val="Heading3"/>
        <w:spacing w:after="100" w:before="200"/>
      </w:pPr>
      <w:r>
        <w:t xml:space="preserve">B.5.2 Sentence 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F5496" w:val="clear"/>
            <w:tcMar>
              <w:top w:type="dxa" w:w="80"/>
              <w:left w:type="dxa" w:w="100"/>
              <w:bottom w:type="dxa" w:w="80"/>
              <w:right w:type="dxa" w:w="100"/>
            </w:tcMar>
          </w:tcPr>
          <w:p>
            <w:pPr>
              <w:jc w:val="left"/>
            </w:pPr>
            <w:r>
              <w:rPr>
                <w:b/>
                <w:bCs/>
                <w:color w:val="FFFFFF"/>
                <w:sz w:val="20"/>
                <w:szCs w:val="20"/>
              </w:rPr>
              <w:t xml:space="preserve">Language</w:t>
            </w:r>
          </w:p>
        </w:tc>
        <w:tc>
          <w:tcPr>
            <w:tcW w:type="dxa" w:w="2340"/>
            <w:shd w:fill="2F5496" w:val="clear"/>
            <w:tcMar>
              <w:top w:type="dxa" w:w="80"/>
              <w:left w:type="dxa" w:w="100"/>
              <w:bottom w:type="dxa" w:w="80"/>
              <w:right w:type="dxa" w:w="100"/>
            </w:tcMar>
          </w:tcPr>
          <w:p>
            <w:pPr>
              <w:jc w:val="center"/>
            </w:pPr>
            <w:r>
              <w:rPr>
                <w:b/>
                <w:bCs/>
                <w:color w:val="FFFFFF"/>
                <w:sz w:val="20"/>
                <w:szCs w:val="20"/>
              </w:rPr>
              <w:t xml:space="preserve">Mean words/sentence</w:t>
            </w:r>
          </w:p>
        </w:tc>
        <w:tc>
          <w:tcPr>
            <w:tcW w:type="dxa" w:w="2340"/>
            <w:shd w:fill="2F5496" w:val="clear"/>
            <w:tcMar>
              <w:top w:type="dxa" w:w="80"/>
              <w:left w:type="dxa" w:w="100"/>
              <w:bottom w:type="dxa" w:w="80"/>
              <w:right w:type="dxa" w:w="100"/>
            </w:tcMar>
          </w:tcPr>
          <w:p>
            <w:pPr>
              <w:jc w:val="center"/>
            </w:pPr>
            <w:r>
              <w:rPr>
                <w:b/>
                <w:bCs/>
                <w:color w:val="FFFFFF"/>
                <w:sz w:val="20"/>
                <w:szCs w:val="20"/>
              </w:rPr>
              <w:t xml:space="preserve">Median</w:t>
            </w:r>
          </w:p>
        </w:tc>
        <w:tc>
          <w:tcPr>
            <w:tcW w:type="dxa" w:w="2340"/>
            <w:shd w:fill="2F5496" w:val="clear"/>
            <w:tcMar>
              <w:top w:type="dxa" w:w="80"/>
              <w:left w:type="dxa" w:w="100"/>
              <w:bottom w:type="dxa" w:w="80"/>
              <w:right w:type="dxa" w:w="100"/>
            </w:tcMar>
          </w:tcPr>
          <w:p>
            <w:pPr>
              <w:jc w:val="center"/>
            </w:pPr>
            <w:r>
              <w:rPr>
                <w:b/>
                <w:bCs/>
                <w:color w:val="FFFFFF"/>
                <w:sz w:val="20"/>
                <w:szCs w:val="20"/>
              </w:rPr>
              <w:t xml:space="preserve">Max</w:t>
            </w:r>
          </w:p>
        </w:tc>
      </w:tr>
      <w:tr>
        <w:tc>
          <w:tcPr>
            <w:tcW w:type="dxa" w:w="2340"/>
            <w:tcMar>
              <w:top w:type="dxa" w:w="80"/>
              <w:left w:type="dxa" w:w="100"/>
              <w:bottom w:type="dxa" w:w="80"/>
              <w:right w:type="dxa" w:w="100"/>
            </w:tcMar>
          </w:tcPr>
          <w:p>
            <w:pPr>
              <w:jc w:val="left"/>
            </w:pPr>
            <w:r>
              <w:rPr>
                <w:b w:val="false"/>
                <w:bCs w:val="false"/>
                <w:color w:val="000000"/>
                <w:sz w:val="20"/>
                <w:szCs w:val="20"/>
              </w:rPr>
              <w:t xml:space="preserve">English</w:t>
            </w:r>
          </w:p>
        </w:tc>
        <w:tc>
          <w:tcPr>
            <w:tcW w:type="dxa" w:w="2340"/>
            <w:tcMar>
              <w:top w:type="dxa" w:w="80"/>
              <w:left w:type="dxa" w:w="100"/>
              <w:bottom w:type="dxa" w:w="80"/>
              <w:right w:type="dxa" w:w="100"/>
            </w:tcMar>
          </w:tcPr>
          <w:p>
            <w:pPr>
              <w:jc w:val="center"/>
            </w:pPr>
            <w:r>
              <w:rPr>
                <w:b w:val="false"/>
                <w:bCs w:val="false"/>
                <w:color w:val="000000"/>
                <w:sz w:val="20"/>
                <w:szCs w:val="20"/>
              </w:rPr>
              <w:t xml:space="preserve">24.3</w:t>
            </w:r>
          </w:p>
        </w:tc>
        <w:tc>
          <w:tcPr>
            <w:tcW w:type="dxa" w:w="2340"/>
            <w:tcMar>
              <w:top w:type="dxa" w:w="80"/>
              <w:left w:type="dxa" w:w="100"/>
              <w:bottom w:type="dxa" w:w="80"/>
              <w:right w:type="dxa" w:w="100"/>
            </w:tcMar>
          </w:tcPr>
          <w:p>
            <w:pPr>
              <w:jc w:val="center"/>
            </w:pPr>
            <w:r>
              <w:rPr>
                <w:b w:val="false"/>
                <w:bCs w:val="false"/>
                <w:color w:val="000000"/>
                <w:sz w:val="20"/>
                <w:szCs w:val="20"/>
              </w:rPr>
              <w:t xml:space="preserve">25</w:t>
            </w:r>
          </w:p>
        </w:tc>
        <w:tc>
          <w:tcPr>
            <w:tcW w:type="dxa" w:w="2340"/>
            <w:tcMar>
              <w:top w:type="dxa" w:w="80"/>
              <w:left w:type="dxa" w:w="100"/>
              <w:bottom w:type="dxa" w:w="80"/>
              <w:right w:type="dxa" w:w="100"/>
            </w:tcMar>
          </w:tcPr>
          <w:p>
            <w:pPr>
              <w:jc w:val="center"/>
            </w:pPr>
            <w:r>
              <w:rPr>
                <w:b w:val="false"/>
                <w:bCs w:val="false"/>
                <w:color w:val="000000"/>
                <w:sz w:val="20"/>
                <w:szCs w:val="20"/>
              </w:rPr>
              <w:t xml:space="preserve">89</w:t>
            </w:r>
          </w:p>
        </w:tc>
      </w:tr>
      <w:tr>
        <w:tc>
          <w:tcPr>
            <w:tcW w:type="dxa" w:w="2340"/>
            <w:shd w:fill="F2F2F2" w:val="clear"/>
            <w:tcMar>
              <w:top w:type="dxa" w:w="80"/>
              <w:left w:type="dxa" w:w="100"/>
              <w:bottom w:type="dxa" w:w="80"/>
              <w:right w:type="dxa" w:w="100"/>
            </w:tcMar>
          </w:tcPr>
          <w:p>
            <w:pPr>
              <w:jc w:val="left"/>
            </w:pPr>
            <w:r>
              <w:rPr>
                <w:b w:val="false"/>
                <w:bCs w:val="false"/>
                <w:color w:val="000000"/>
                <w:sz w:val="20"/>
                <w:szCs w:val="20"/>
              </w:rPr>
              <w:t xml:space="preserve">Kiswahili</w:t>
            </w:r>
          </w:p>
        </w:tc>
        <w:tc>
          <w:tcPr>
            <w:tcW w:type="dxa" w:w="2340"/>
            <w:shd w:fill="F2F2F2" w:val="clear"/>
            <w:tcMar>
              <w:top w:type="dxa" w:w="80"/>
              <w:left w:type="dxa" w:w="100"/>
              <w:bottom w:type="dxa" w:w="80"/>
              <w:right w:type="dxa" w:w="100"/>
            </w:tcMar>
          </w:tcPr>
          <w:p>
            <w:pPr>
              <w:jc w:val="center"/>
            </w:pPr>
            <w:r>
              <w:rPr>
                <w:b w:val="false"/>
                <w:bCs w:val="false"/>
                <w:color w:val="000000"/>
                <w:sz w:val="20"/>
                <w:szCs w:val="20"/>
              </w:rPr>
              <w:t xml:space="preserve">27.8</w:t>
            </w:r>
          </w:p>
        </w:tc>
        <w:tc>
          <w:tcPr>
            <w:tcW w:type="dxa" w:w="2340"/>
            <w:shd w:fill="F2F2F2" w:val="clear"/>
            <w:tcMar>
              <w:top w:type="dxa" w:w="80"/>
              <w:left w:type="dxa" w:w="100"/>
              <w:bottom w:type="dxa" w:w="80"/>
              <w:right w:type="dxa" w:w="100"/>
            </w:tcMar>
          </w:tcPr>
          <w:p>
            <w:pPr>
              <w:jc w:val="center"/>
            </w:pPr>
            <w:r>
              <w:rPr>
                <w:b w:val="false"/>
                <w:bCs w:val="false"/>
                <w:color w:val="000000"/>
                <w:sz w:val="20"/>
                <w:szCs w:val="20"/>
              </w:rPr>
              <w:t xml:space="preserve">26</w:t>
            </w:r>
          </w:p>
        </w:tc>
        <w:tc>
          <w:tcPr>
            <w:tcW w:type="dxa" w:w="2340"/>
            <w:shd w:fill="F2F2F2" w:val="clear"/>
            <w:tcMar>
              <w:top w:type="dxa" w:w="80"/>
              <w:left w:type="dxa" w:w="100"/>
              <w:bottom w:type="dxa" w:w="80"/>
              <w:right w:type="dxa" w:w="100"/>
            </w:tcMar>
          </w:tcPr>
          <w:p>
            <w:pPr>
              <w:jc w:val="center"/>
            </w:pPr>
            <w:r>
              <w:rPr>
                <w:b w:val="false"/>
                <w:bCs w:val="false"/>
                <w:color w:val="000000"/>
                <w:sz w:val="20"/>
                <w:szCs w:val="20"/>
              </w:rPr>
              <w:t xml:space="preserve">107</w:t>
            </w:r>
          </w:p>
        </w:tc>
      </w:tr>
      <w:tr>
        <w:tc>
          <w:tcPr>
            <w:tcW w:type="dxa" w:w="2340"/>
            <w:tcMar>
              <w:top w:type="dxa" w:w="80"/>
              <w:left w:type="dxa" w:w="100"/>
              <w:bottom w:type="dxa" w:w="80"/>
              <w:right w:type="dxa" w:w="100"/>
            </w:tcMar>
          </w:tcPr>
          <w:p>
            <w:pPr>
              <w:jc w:val="left"/>
            </w:pPr>
            <w:r>
              <w:rPr>
                <w:b w:val="false"/>
                <w:bCs w:val="false"/>
                <w:color w:val="000000"/>
                <w:sz w:val="20"/>
                <w:szCs w:val="20"/>
              </w:rPr>
              <w:t xml:space="preserve">Dholuo</w:t>
            </w:r>
          </w:p>
        </w:tc>
        <w:tc>
          <w:tcPr>
            <w:tcW w:type="dxa" w:w="2340"/>
            <w:tcMar>
              <w:top w:type="dxa" w:w="80"/>
              <w:left w:type="dxa" w:w="100"/>
              <w:bottom w:type="dxa" w:w="80"/>
              <w:right w:type="dxa" w:w="100"/>
            </w:tcMar>
          </w:tcPr>
          <w:p>
            <w:pPr>
              <w:jc w:val="center"/>
            </w:pPr>
            <w:r>
              <w:rPr>
                <w:b w:val="false"/>
                <w:bCs w:val="false"/>
                <w:color w:val="000000"/>
                <w:sz w:val="20"/>
                <w:szCs w:val="20"/>
              </w:rPr>
              <w:t xml:space="preserve">33.7</w:t>
            </w:r>
          </w:p>
        </w:tc>
        <w:tc>
          <w:tcPr>
            <w:tcW w:type="dxa" w:w="2340"/>
            <w:tcMar>
              <w:top w:type="dxa" w:w="80"/>
              <w:left w:type="dxa" w:w="100"/>
              <w:bottom w:type="dxa" w:w="80"/>
              <w:right w:type="dxa" w:w="100"/>
            </w:tcMar>
          </w:tcPr>
          <w:p>
            <w:pPr>
              <w:jc w:val="center"/>
            </w:pPr>
            <w:r>
              <w:rPr>
                <w:b w:val="false"/>
                <w:bCs w:val="false"/>
                <w:color w:val="000000"/>
                <w:sz w:val="20"/>
                <w:szCs w:val="20"/>
              </w:rPr>
              <w:t xml:space="preserve">33</w:t>
            </w:r>
          </w:p>
        </w:tc>
        <w:tc>
          <w:tcPr>
            <w:tcW w:type="dxa" w:w="2340"/>
            <w:tcMar>
              <w:top w:type="dxa" w:w="80"/>
              <w:left w:type="dxa" w:w="100"/>
              <w:bottom w:type="dxa" w:w="80"/>
              <w:right w:type="dxa" w:w="100"/>
            </w:tcMar>
          </w:tcPr>
          <w:p>
            <w:pPr>
              <w:jc w:val="center"/>
            </w:pPr>
            <w:r>
              <w:rPr>
                <w:b w:val="false"/>
                <w:bCs w:val="false"/>
                <w:color w:val="000000"/>
                <w:sz w:val="20"/>
                <w:szCs w:val="20"/>
              </w:rPr>
              <w:t xml:space="preserve">119</w:t>
            </w:r>
          </w:p>
        </w:tc>
      </w:tr>
      <w:tr>
        <w:tc>
          <w:tcPr>
            <w:tcW w:type="dxa" w:w="2340"/>
            <w:shd w:fill="F2F2F2" w:val="clear"/>
            <w:tcMar>
              <w:top w:type="dxa" w:w="80"/>
              <w:left w:type="dxa" w:w="100"/>
              <w:bottom w:type="dxa" w:w="80"/>
              <w:right w:type="dxa" w:w="100"/>
            </w:tcMar>
          </w:tcPr>
          <w:p>
            <w:pPr>
              <w:jc w:val="left"/>
            </w:pPr>
            <w:r>
              <w:rPr>
                <w:b w:val="false"/>
                <w:bCs w:val="false"/>
                <w:color w:val="000000"/>
                <w:sz w:val="20"/>
                <w:szCs w:val="20"/>
              </w:rPr>
              <w:t xml:space="preserve">Somali</w:t>
            </w:r>
          </w:p>
        </w:tc>
        <w:tc>
          <w:tcPr>
            <w:tcW w:type="dxa" w:w="2340"/>
            <w:shd w:fill="F2F2F2" w:val="clear"/>
            <w:tcMar>
              <w:top w:type="dxa" w:w="80"/>
              <w:left w:type="dxa" w:w="100"/>
              <w:bottom w:type="dxa" w:w="80"/>
              <w:right w:type="dxa" w:w="100"/>
            </w:tcMar>
          </w:tcPr>
          <w:p>
            <w:pPr>
              <w:jc w:val="center"/>
            </w:pPr>
            <w:r>
              <w:rPr>
                <w:b w:val="false"/>
                <w:bCs w:val="false"/>
                <w:color w:val="000000"/>
                <w:sz w:val="20"/>
                <w:szCs w:val="20"/>
              </w:rPr>
              <w:t xml:space="preserve">29.0</w:t>
            </w:r>
          </w:p>
        </w:tc>
        <w:tc>
          <w:tcPr>
            <w:tcW w:type="dxa" w:w="2340"/>
            <w:shd w:fill="F2F2F2" w:val="clear"/>
            <w:tcMar>
              <w:top w:type="dxa" w:w="80"/>
              <w:left w:type="dxa" w:w="100"/>
              <w:bottom w:type="dxa" w:w="80"/>
              <w:right w:type="dxa" w:w="100"/>
            </w:tcMar>
          </w:tcPr>
          <w:p>
            <w:pPr>
              <w:jc w:val="center"/>
            </w:pPr>
            <w:r>
              <w:rPr>
                <w:b w:val="false"/>
                <w:bCs w:val="false"/>
                <w:color w:val="000000"/>
                <w:sz w:val="20"/>
                <w:szCs w:val="20"/>
              </w:rPr>
              <w:t xml:space="preserve">29</w:t>
            </w:r>
          </w:p>
        </w:tc>
        <w:tc>
          <w:tcPr>
            <w:tcW w:type="dxa" w:w="2340"/>
            <w:shd w:fill="F2F2F2" w:val="clear"/>
            <w:tcMar>
              <w:top w:type="dxa" w:w="80"/>
              <w:left w:type="dxa" w:w="100"/>
              <w:bottom w:type="dxa" w:w="80"/>
              <w:right w:type="dxa" w:w="100"/>
            </w:tcMar>
          </w:tcPr>
          <w:p>
            <w:pPr>
              <w:jc w:val="center"/>
            </w:pPr>
            <w:r>
              <w:rPr>
                <w:b w:val="false"/>
                <w:bCs w:val="false"/>
                <w:color w:val="000000"/>
                <w:sz w:val="20"/>
                <w:szCs w:val="20"/>
              </w:rPr>
              <w:t xml:space="preserve">92</w:t>
            </w:r>
          </w:p>
        </w:tc>
      </w:tr>
    </w:tbl>
    <w:p>
      <w:pPr>
        <w:spacing w:after="220" w:before="60"/>
      </w:pPr>
      <w:r>
        <w:rPr>
          <w:i/>
          <w:iCs/>
          <w:color w:val="555555"/>
          <w:sz w:val="20"/>
          <w:szCs w:val="20"/>
        </w:rPr>
        <w:t xml:space="preserve">Table B5. Sentence-length distribution, Dholuo/Somali track.</w:t>
      </w:r>
    </w:p>
    <w:p>
      <w:pPr>
        <w:spacing w:after="160" w:line="276"/>
      </w:pPr>
      <w:r>
        <w:t xml:space="preserve">Dholuo has both the highest mean/median sentence length and the shortest average word length (4.30 characters) — a consistent pattern indicating Dholuo expresses PSA content through more, shorter words rather than fewer, longer ones. Somali shows roughly the opposite relationship: near-average sentence length but the longest average word length of all four languages.</w:t>
      </w:r>
    </w:p>
    <w:p>
      <w:pPr>
        <w:pStyle w:val="Heading3"/>
        <w:spacing w:after="100" w:before="200"/>
      </w:pPr>
      <w:r>
        <w:t xml:space="preserve">B.5.3 Vocabulary Size and Lexical Diversity (TTR)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F5496" w:val="clear"/>
            <w:tcMar>
              <w:top w:type="dxa" w:w="80"/>
              <w:left w:type="dxa" w:w="100"/>
              <w:bottom w:type="dxa" w:w="80"/>
              <w:right w:type="dxa" w:w="100"/>
            </w:tcMar>
          </w:tcPr>
          <w:p>
            <w:pPr>
              <w:jc w:val="left"/>
            </w:pPr>
            <w:r>
              <w:rPr>
                <w:b/>
                <w:bCs/>
                <w:color w:val="FFFFFF"/>
                <w:sz w:val="20"/>
                <w:szCs w:val="20"/>
              </w:rPr>
              <w:t xml:space="preserve">Language</w:t>
            </w:r>
          </w:p>
        </w:tc>
        <w:tc>
          <w:tcPr>
            <w:tcW w:type="dxa" w:w="2340"/>
            <w:shd w:fill="2F5496" w:val="clear"/>
            <w:tcMar>
              <w:top w:type="dxa" w:w="80"/>
              <w:left w:type="dxa" w:w="100"/>
              <w:bottom w:type="dxa" w:w="80"/>
              <w:right w:type="dxa" w:w="100"/>
            </w:tcMar>
          </w:tcPr>
          <w:p>
            <w:pPr>
              <w:jc w:val="center"/>
            </w:pPr>
            <w:r>
              <w:rPr>
                <w:b/>
                <w:bCs/>
                <w:color w:val="FFFFFF"/>
                <w:sz w:val="20"/>
                <w:szCs w:val="20"/>
              </w:rPr>
              <w:t xml:space="preserve">Total words</w:t>
            </w:r>
          </w:p>
        </w:tc>
        <w:tc>
          <w:tcPr>
            <w:tcW w:type="dxa" w:w="2340"/>
            <w:shd w:fill="2F5496" w:val="clear"/>
            <w:tcMar>
              <w:top w:type="dxa" w:w="80"/>
              <w:left w:type="dxa" w:w="100"/>
              <w:bottom w:type="dxa" w:w="80"/>
              <w:right w:type="dxa" w:w="100"/>
            </w:tcMar>
          </w:tcPr>
          <w:p>
            <w:pPr>
              <w:jc w:val="center"/>
            </w:pPr>
            <w:r>
              <w:rPr>
                <w:b/>
                <w:bCs/>
                <w:color w:val="FFFFFF"/>
                <w:sz w:val="20"/>
                <w:szCs w:val="20"/>
              </w:rPr>
              <w:t xml:space="preserve">Vocabulary size</w:t>
            </w:r>
          </w:p>
        </w:tc>
        <w:tc>
          <w:tcPr>
            <w:tcW w:type="dxa" w:w="2340"/>
            <w:shd w:fill="2F5496" w:val="clear"/>
            <w:tcMar>
              <w:top w:type="dxa" w:w="80"/>
              <w:left w:type="dxa" w:w="100"/>
              <w:bottom w:type="dxa" w:w="80"/>
              <w:right w:type="dxa" w:w="100"/>
            </w:tcMar>
          </w:tcPr>
          <w:p>
            <w:pPr>
              <w:jc w:val="center"/>
            </w:pPr>
            <w:r>
              <w:rPr>
                <w:b/>
                <w:bCs/>
                <w:color w:val="FFFFFF"/>
                <w:sz w:val="20"/>
                <w:szCs w:val="20"/>
              </w:rPr>
              <w:t xml:space="preserve">Type-token ratio</w:t>
            </w:r>
          </w:p>
        </w:tc>
      </w:tr>
      <w:tr>
        <w:tc>
          <w:tcPr>
            <w:tcW w:type="dxa" w:w="2340"/>
            <w:tcMar>
              <w:top w:type="dxa" w:w="80"/>
              <w:left w:type="dxa" w:w="100"/>
              <w:bottom w:type="dxa" w:w="80"/>
              <w:right w:type="dxa" w:w="100"/>
            </w:tcMar>
          </w:tcPr>
          <w:p>
            <w:pPr>
              <w:jc w:val="left"/>
            </w:pPr>
            <w:r>
              <w:rPr>
                <w:b w:val="false"/>
                <w:bCs w:val="false"/>
                <w:color w:val="000000"/>
                <w:sz w:val="20"/>
                <w:szCs w:val="20"/>
              </w:rPr>
              <w:t xml:space="preserve">English</w:t>
            </w:r>
          </w:p>
        </w:tc>
        <w:tc>
          <w:tcPr>
            <w:tcW w:type="dxa" w:w="2340"/>
            <w:tcMar>
              <w:top w:type="dxa" w:w="80"/>
              <w:left w:type="dxa" w:w="100"/>
              <w:bottom w:type="dxa" w:w="80"/>
              <w:right w:type="dxa" w:w="100"/>
            </w:tcMar>
          </w:tcPr>
          <w:p>
            <w:pPr>
              <w:jc w:val="center"/>
            </w:pPr>
            <w:r>
              <w:rPr>
                <w:b w:val="false"/>
                <w:bCs w:val="false"/>
                <w:color w:val="000000"/>
                <w:sz w:val="20"/>
                <w:szCs w:val="20"/>
              </w:rPr>
              <w:t xml:space="preserve">389,497</w:t>
            </w:r>
          </w:p>
        </w:tc>
        <w:tc>
          <w:tcPr>
            <w:tcW w:type="dxa" w:w="2340"/>
            <w:tcMar>
              <w:top w:type="dxa" w:w="80"/>
              <w:left w:type="dxa" w:w="100"/>
              <w:bottom w:type="dxa" w:w="80"/>
              <w:right w:type="dxa" w:w="100"/>
            </w:tcMar>
          </w:tcPr>
          <w:p>
            <w:pPr>
              <w:jc w:val="center"/>
            </w:pPr>
            <w:r>
              <w:rPr>
                <w:b w:val="false"/>
                <w:bCs w:val="false"/>
                <w:color w:val="000000"/>
                <w:sz w:val="20"/>
                <w:szCs w:val="20"/>
              </w:rPr>
              <w:t xml:space="preserve">11,646</w:t>
            </w:r>
          </w:p>
        </w:tc>
        <w:tc>
          <w:tcPr>
            <w:tcW w:type="dxa" w:w="2340"/>
            <w:tcMar>
              <w:top w:type="dxa" w:w="80"/>
              <w:left w:type="dxa" w:w="100"/>
              <w:bottom w:type="dxa" w:w="80"/>
              <w:right w:type="dxa" w:w="100"/>
            </w:tcMar>
          </w:tcPr>
          <w:p>
            <w:pPr>
              <w:jc w:val="center"/>
            </w:pPr>
            <w:r>
              <w:rPr>
                <w:b w:val="false"/>
                <w:bCs w:val="false"/>
                <w:color w:val="000000"/>
                <w:sz w:val="20"/>
                <w:szCs w:val="20"/>
              </w:rPr>
              <w:t xml:space="preserve">0.0299</w:t>
            </w:r>
          </w:p>
        </w:tc>
      </w:tr>
      <w:tr>
        <w:tc>
          <w:tcPr>
            <w:tcW w:type="dxa" w:w="2340"/>
            <w:shd w:fill="F2F2F2" w:val="clear"/>
            <w:tcMar>
              <w:top w:type="dxa" w:w="80"/>
              <w:left w:type="dxa" w:w="100"/>
              <w:bottom w:type="dxa" w:w="80"/>
              <w:right w:type="dxa" w:w="100"/>
            </w:tcMar>
          </w:tcPr>
          <w:p>
            <w:pPr>
              <w:jc w:val="left"/>
            </w:pPr>
            <w:r>
              <w:rPr>
                <w:b w:val="false"/>
                <w:bCs w:val="false"/>
                <w:color w:val="000000"/>
                <w:sz w:val="20"/>
                <w:szCs w:val="20"/>
              </w:rPr>
              <w:t xml:space="preserve">Kiswahili</w:t>
            </w:r>
          </w:p>
        </w:tc>
        <w:tc>
          <w:tcPr>
            <w:tcW w:type="dxa" w:w="2340"/>
            <w:shd w:fill="F2F2F2" w:val="clear"/>
            <w:tcMar>
              <w:top w:type="dxa" w:w="80"/>
              <w:left w:type="dxa" w:w="100"/>
              <w:bottom w:type="dxa" w:w="80"/>
              <w:right w:type="dxa" w:w="100"/>
            </w:tcMar>
          </w:tcPr>
          <w:p>
            <w:pPr>
              <w:jc w:val="center"/>
            </w:pPr>
            <w:r>
              <w:rPr>
                <w:b w:val="false"/>
                <w:bCs w:val="false"/>
                <w:color w:val="000000"/>
                <w:sz w:val="20"/>
                <w:szCs w:val="20"/>
              </w:rPr>
              <w:t xml:space="preserve">446,280</w:t>
            </w:r>
          </w:p>
        </w:tc>
        <w:tc>
          <w:tcPr>
            <w:tcW w:type="dxa" w:w="2340"/>
            <w:shd w:fill="F2F2F2" w:val="clear"/>
            <w:tcMar>
              <w:top w:type="dxa" w:w="80"/>
              <w:left w:type="dxa" w:w="100"/>
              <w:bottom w:type="dxa" w:w="80"/>
              <w:right w:type="dxa" w:w="100"/>
            </w:tcMar>
          </w:tcPr>
          <w:p>
            <w:pPr>
              <w:jc w:val="center"/>
            </w:pPr>
            <w:r>
              <w:rPr>
                <w:b w:val="false"/>
                <w:bCs w:val="false"/>
                <w:color w:val="000000"/>
                <w:sz w:val="20"/>
                <w:szCs w:val="20"/>
              </w:rPr>
              <w:t xml:space="preserve">10,759</w:t>
            </w:r>
          </w:p>
        </w:tc>
        <w:tc>
          <w:tcPr>
            <w:tcW w:type="dxa" w:w="2340"/>
            <w:shd w:fill="F2F2F2" w:val="clear"/>
            <w:tcMar>
              <w:top w:type="dxa" w:w="80"/>
              <w:left w:type="dxa" w:w="100"/>
              <w:bottom w:type="dxa" w:w="80"/>
              <w:right w:type="dxa" w:w="100"/>
            </w:tcMar>
          </w:tcPr>
          <w:p>
            <w:pPr>
              <w:jc w:val="center"/>
            </w:pPr>
            <w:r>
              <w:rPr>
                <w:b w:val="false"/>
                <w:bCs w:val="false"/>
                <w:color w:val="000000"/>
                <w:sz w:val="20"/>
                <w:szCs w:val="20"/>
              </w:rPr>
              <w:t xml:space="preserve">0.0241</w:t>
            </w:r>
          </w:p>
        </w:tc>
      </w:tr>
      <w:tr>
        <w:tc>
          <w:tcPr>
            <w:tcW w:type="dxa" w:w="2340"/>
            <w:tcMar>
              <w:top w:type="dxa" w:w="80"/>
              <w:left w:type="dxa" w:w="100"/>
              <w:bottom w:type="dxa" w:w="80"/>
              <w:right w:type="dxa" w:w="100"/>
            </w:tcMar>
          </w:tcPr>
          <w:p>
            <w:pPr>
              <w:jc w:val="left"/>
            </w:pPr>
            <w:r>
              <w:rPr>
                <w:b w:val="false"/>
                <w:bCs w:val="false"/>
                <w:color w:val="000000"/>
                <w:sz w:val="20"/>
                <w:szCs w:val="20"/>
              </w:rPr>
              <w:t xml:space="preserve">Dholuo</w:t>
            </w:r>
          </w:p>
        </w:tc>
        <w:tc>
          <w:tcPr>
            <w:tcW w:type="dxa" w:w="2340"/>
            <w:tcMar>
              <w:top w:type="dxa" w:w="80"/>
              <w:left w:type="dxa" w:w="100"/>
              <w:bottom w:type="dxa" w:w="80"/>
              <w:right w:type="dxa" w:w="100"/>
            </w:tcMar>
          </w:tcPr>
          <w:p>
            <w:pPr>
              <w:jc w:val="center"/>
            </w:pPr>
            <w:r>
              <w:rPr>
                <w:b w:val="false"/>
                <w:bCs w:val="false"/>
                <w:color w:val="000000"/>
                <w:sz w:val="20"/>
                <w:szCs w:val="20"/>
              </w:rPr>
              <w:t xml:space="preserve">539,632</w:t>
            </w:r>
          </w:p>
        </w:tc>
        <w:tc>
          <w:tcPr>
            <w:tcW w:type="dxa" w:w="2340"/>
            <w:tcMar>
              <w:top w:type="dxa" w:w="80"/>
              <w:left w:type="dxa" w:w="100"/>
              <w:bottom w:type="dxa" w:w="80"/>
              <w:right w:type="dxa" w:w="100"/>
            </w:tcMar>
          </w:tcPr>
          <w:p>
            <w:pPr>
              <w:jc w:val="center"/>
            </w:pPr>
            <w:r>
              <w:rPr>
                <w:b w:val="false"/>
                <w:bCs w:val="false"/>
                <w:color w:val="000000"/>
                <w:sz w:val="20"/>
                <w:szCs w:val="20"/>
              </w:rPr>
              <w:t xml:space="preserve">8,890</w:t>
            </w:r>
          </w:p>
        </w:tc>
        <w:tc>
          <w:tcPr>
            <w:tcW w:type="dxa" w:w="2340"/>
            <w:tcMar>
              <w:top w:type="dxa" w:w="80"/>
              <w:left w:type="dxa" w:w="100"/>
              <w:bottom w:type="dxa" w:w="80"/>
              <w:right w:type="dxa" w:w="100"/>
            </w:tcMar>
          </w:tcPr>
          <w:p>
            <w:pPr>
              <w:jc w:val="center"/>
            </w:pPr>
            <w:r>
              <w:rPr>
                <w:b w:val="false"/>
                <w:bCs w:val="false"/>
                <w:color w:val="000000"/>
                <w:sz w:val="20"/>
                <w:szCs w:val="20"/>
              </w:rPr>
              <w:t xml:space="preserve">0.0165</w:t>
            </w:r>
          </w:p>
        </w:tc>
      </w:tr>
      <w:tr>
        <w:tc>
          <w:tcPr>
            <w:tcW w:type="dxa" w:w="2340"/>
            <w:shd w:fill="F2F2F2" w:val="clear"/>
            <w:tcMar>
              <w:top w:type="dxa" w:w="80"/>
              <w:left w:type="dxa" w:w="100"/>
              <w:bottom w:type="dxa" w:w="80"/>
              <w:right w:type="dxa" w:w="100"/>
            </w:tcMar>
          </w:tcPr>
          <w:p>
            <w:pPr>
              <w:jc w:val="left"/>
            </w:pPr>
            <w:r>
              <w:rPr>
                <w:b w:val="false"/>
                <w:bCs w:val="false"/>
                <w:color w:val="000000"/>
                <w:sz w:val="20"/>
                <w:szCs w:val="20"/>
              </w:rPr>
              <w:t xml:space="preserve">Somali</w:t>
            </w:r>
          </w:p>
        </w:tc>
        <w:tc>
          <w:tcPr>
            <w:tcW w:type="dxa" w:w="2340"/>
            <w:shd w:fill="F2F2F2" w:val="clear"/>
            <w:tcMar>
              <w:top w:type="dxa" w:w="80"/>
              <w:left w:type="dxa" w:w="100"/>
              <w:bottom w:type="dxa" w:w="80"/>
              <w:right w:type="dxa" w:w="100"/>
            </w:tcMar>
          </w:tcPr>
          <w:p>
            <w:pPr>
              <w:jc w:val="center"/>
            </w:pPr>
            <w:r>
              <w:rPr>
                <w:b w:val="false"/>
                <w:bCs w:val="false"/>
                <w:color w:val="000000"/>
                <w:sz w:val="20"/>
                <w:szCs w:val="20"/>
              </w:rPr>
              <w:t xml:space="preserve">465,330</w:t>
            </w:r>
          </w:p>
        </w:tc>
        <w:tc>
          <w:tcPr>
            <w:tcW w:type="dxa" w:w="2340"/>
            <w:shd w:fill="F2F2F2" w:val="clear"/>
            <w:tcMar>
              <w:top w:type="dxa" w:w="80"/>
              <w:left w:type="dxa" w:w="100"/>
              <w:bottom w:type="dxa" w:w="80"/>
              <w:right w:type="dxa" w:w="100"/>
            </w:tcMar>
          </w:tcPr>
          <w:p>
            <w:pPr>
              <w:jc w:val="center"/>
            </w:pPr>
            <w:r>
              <w:rPr>
                <w:b w:val="false"/>
                <w:bCs w:val="false"/>
                <w:color w:val="000000"/>
                <w:sz w:val="20"/>
                <w:szCs w:val="20"/>
              </w:rPr>
              <w:t xml:space="preserve">12,384</w:t>
            </w:r>
          </w:p>
        </w:tc>
        <w:tc>
          <w:tcPr>
            <w:tcW w:type="dxa" w:w="2340"/>
            <w:shd w:fill="F2F2F2" w:val="clear"/>
            <w:tcMar>
              <w:top w:type="dxa" w:w="80"/>
              <w:left w:type="dxa" w:w="100"/>
              <w:bottom w:type="dxa" w:w="80"/>
              <w:right w:type="dxa" w:w="100"/>
            </w:tcMar>
          </w:tcPr>
          <w:p>
            <w:pPr>
              <w:jc w:val="center"/>
            </w:pPr>
            <w:r>
              <w:rPr>
                <w:b w:val="false"/>
                <w:bCs w:val="false"/>
                <w:color w:val="000000"/>
                <w:sz w:val="20"/>
                <w:szCs w:val="20"/>
              </w:rPr>
              <w:t xml:space="preserve">0.0266</w:t>
            </w:r>
          </w:p>
        </w:tc>
      </w:tr>
    </w:tbl>
    <w:p>
      <w:pPr>
        <w:spacing w:after="220" w:before="60"/>
      </w:pPr>
      <w:r>
        <w:rPr>
          <w:i/>
          <w:iCs/>
          <w:color w:val="555555"/>
          <w:sz w:val="20"/>
          <w:szCs w:val="20"/>
        </w:rPr>
        <w:t xml:space="preserve">Table B6. Vocabulary size and type-token ratio (TTR), Dholuo/Somali track.</w:t>
      </w:r>
    </w:p>
    <w:p>
      <w:pPr>
        <w:spacing w:after="160" w:line="276"/>
      </w:pPr>
      <w:r>
        <w:t xml:space="preserve">Dholuo has the highest total word count but the lowest vocabulary size and TTR — it reuses a comparatively small set of words far more often, consistent with the shorter-words/more-repetition pattern found in Section B.5.2. An explicit caveat was noted: TTR is known to shrink mechanically as corpus size grows (Heaps' law), so Dholuo's low TTR is partly a genuine property of the language/dataset and partly an artifact of it having the most total words; a fairer comparison would require equal-sized samples across languages, noted as a follow-up.</w:t>
      </w:r>
    </w:p>
    <w:p>
      <w:pPr>
        <w:pStyle w:val="Heading3"/>
        <w:spacing w:after="100" w:before="200"/>
      </w:pPr>
      <w:r>
        <w:t xml:space="preserve">B.5.4 Language-Pair Length Correlation</w:t>
      </w:r>
    </w:p>
    <w:p>
      <w:pPr>
        <w:spacing w:after="160" w:line="276"/>
      </w:pPr>
      <w:r>
        <w:t xml:space="preserve">English-Dholuo and English-Somali sentence lengths are both strongly correlated (0.921 and 0.945 respectively), as expected for translations of shared source content. Length ratios confirm the earlier pattern: Dholuo sentences average 1.39× the word count of their English source, while Somali averages a smaller 1.20×.</w:t>
      </w:r>
    </w:p>
    <w:p>
      <w:pPr>
        <w:pStyle w:val="Heading2"/>
        <w:spacing w:after="120" w:before="260"/>
      </w:pPr>
      <w:r>
        <w:t xml:space="preserve">B.6 Native-Speaker Validation Sample</w:t>
      </w:r>
    </w:p>
    <w:p>
      <w:pPr>
        <w:spacing w:after="160" w:line="276"/>
      </w:pPr>
      <w:r>
        <w:t xml:space="preserve">A 500-row sample, stratified proportionally by domain, was exported (validation_sample_dholuo_somali.csv) with blank Accuracy/Fluency/Comments columns for both Dholuo and Somali, so native speakers can independently score translation accuracy and fluency per language for the same source sentence. This review (assigned to team members Rencia for Dholuo and an equivalent reviewer for Somali) was in progress and not completed at the time this notebook was finalized.</w:t>
      </w:r>
    </w:p>
    <w:p>
      <w:pPr>
        <w:pStyle w:val="Heading2"/>
        <w:spacing w:after="120" w:before="260"/>
      </w:pPr>
      <w:r>
        <w:t xml:space="preserve">B.7 Known Issues Summary and Final Save</w:t>
      </w:r>
    </w:p>
    <w:p>
      <w:pPr>
        <w:spacing w:after="160" w:line="276"/>
      </w:pPr>
      <w:r>
        <w:t xml:space="preserve">The notebook consolidates a known-issues log covering completeness (the single missing Somali value), the unresolved Security/Security &amp; Safety domain-labeling split, orthographic normalization (curly-quote standardization), code-switching (289-term glossary, 229 entries still pending review, the single uncaught eCITIZEN caption edge case), tokenization caveats, and the TTR corpus-size caveat.</w:t>
      </w:r>
    </w:p>
    <w:p>
      <w:pPr>
        <w:spacing w:after="160" w:line="276"/>
      </w:pPr>
      <w:r>
        <w:t xml:space="preserve">Unlike the Ekegusii track, no rows were removed from the Dholuo/Somali dataset at this stage — the full 16,029-row, normalized, caption-corrected dataset was saved as psa_dataset_dholuo_somali_cleaned.csv with 0 missing values remaining, as the checkpoint for the next modeling stage. No train/validation/test split was performed within this notebook.</w:t>
      </w:r>
    </w:p>
    <w:p>
      <w:pPr>
        <w:pStyle w:val="Heading1"/>
        <w:spacing w:after="160" w:before="320"/>
      </w:pPr>
      <w:r>
        <w:t xml:space="preserve">2. Cross-Track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2F5496" w:val="clear"/>
            <w:tcMar>
              <w:top w:type="dxa" w:w="80"/>
              <w:left w:type="dxa" w:w="100"/>
              <w:bottom w:type="dxa" w:w="80"/>
              <w:right w:type="dxa" w:w="100"/>
            </w:tcMar>
          </w:tcPr>
          <w:p>
            <w:pPr>
              <w:jc w:val="left"/>
            </w:pPr>
            <w:r>
              <w:rPr>
                <w:b/>
                <w:bCs/>
                <w:color w:val="FFFFFF"/>
                <w:sz w:val="20"/>
                <w:szCs w:val="20"/>
              </w:rPr>
              <w:t xml:space="preserve">Aspect</w:t>
            </w:r>
          </w:p>
        </w:tc>
        <w:tc>
          <w:tcPr>
            <w:tcW w:type="dxa" w:w="3380"/>
            <w:shd w:fill="2F5496" w:val="clear"/>
            <w:tcMar>
              <w:top w:type="dxa" w:w="80"/>
              <w:left w:type="dxa" w:w="100"/>
              <w:bottom w:type="dxa" w:w="80"/>
              <w:right w:type="dxa" w:w="100"/>
            </w:tcMar>
          </w:tcPr>
          <w:p>
            <w:pPr>
              <w:jc w:val="center"/>
            </w:pPr>
            <w:r>
              <w:rPr>
                <w:b/>
                <w:bCs/>
                <w:color w:val="FFFFFF"/>
                <w:sz w:val="20"/>
                <w:szCs w:val="20"/>
              </w:rPr>
              <w:t xml:space="preserve">Ekegusii track</w:t>
            </w:r>
          </w:p>
        </w:tc>
        <w:tc>
          <w:tcPr>
            <w:tcW w:type="dxa" w:w="3380"/>
            <w:shd w:fill="2F5496" w:val="clear"/>
            <w:tcMar>
              <w:top w:type="dxa" w:w="80"/>
              <w:left w:type="dxa" w:w="100"/>
              <w:bottom w:type="dxa" w:w="80"/>
              <w:right w:type="dxa" w:w="100"/>
            </w:tcMar>
          </w:tcPr>
          <w:p>
            <w:pPr>
              <w:jc w:val="center"/>
            </w:pPr>
            <w:r>
              <w:rPr>
                <w:b/>
                <w:bCs/>
                <w:color w:val="FFFFFF"/>
                <w:sz w:val="20"/>
                <w:szCs w:val="20"/>
              </w:rPr>
              <w:t xml:space="preserve">Dholuo/Somali track</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Raw dataset size</w:t>
            </w:r>
          </w:p>
        </w:tc>
        <w:tc>
          <w:tcPr>
            <w:tcW w:type="dxa" w:w="3380"/>
            <w:tcMar>
              <w:top w:type="dxa" w:w="80"/>
              <w:left w:type="dxa" w:w="100"/>
              <w:bottom w:type="dxa" w:w="80"/>
              <w:right w:type="dxa" w:w="100"/>
            </w:tcMar>
          </w:tcPr>
          <w:p>
            <w:pPr>
              <w:jc w:val="center"/>
            </w:pPr>
            <w:r>
              <w:rPr>
                <w:b w:val="false"/>
                <w:bCs w:val="false"/>
                <w:color w:val="000000"/>
                <w:sz w:val="20"/>
                <w:szCs w:val="20"/>
              </w:rPr>
              <w:t xml:space="preserve">5,144 rows</w:t>
            </w:r>
          </w:p>
        </w:tc>
        <w:tc>
          <w:tcPr>
            <w:tcW w:type="dxa" w:w="3380"/>
            <w:tcMar>
              <w:top w:type="dxa" w:w="80"/>
              <w:left w:type="dxa" w:w="100"/>
              <w:bottom w:type="dxa" w:w="80"/>
              <w:right w:type="dxa" w:w="100"/>
            </w:tcMar>
          </w:tcPr>
          <w:p>
            <w:pPr>
              <w:jc w:val="center"/>
            </w:pPr>
            <w:r>
              <w:rPr>
                <w:b w:val="false"/>
                <w:bCs w:val="false"/>
                <w:color w:val="000000"/>
                <w:sz w:val="20"/>
                <w:szCs w:val="20"/>
              </w:rPr>
              <w:t xml:space="preserve">16,029 rows</w:t>
            </w:r>
          </w:p>
        </w:tc>
      </w:tr>
      <w:tr>
        <w:tc>
          <w:tcPr>
            <w:tcW w:type="dxa" w:w="2600"/>
            <w:shd w:fill="F2F2F2" w:val="clear"/>
            <w:tcMar>
              <w:top w:type="dxa" w:w="80"/>
              <w:left w:type="dxa" w:w="100"/>
              <w:bottom w:type="dxa" w:w="80"/>
              <w:right w:type="dxa" w:w="100"/>
            </w:tcMar>
          </w:tcPr>
          <w:p>
            <w:pPr>
              <w:jc w:val="left"/>
            </w:pPr>
            <w:r>
              <w:rPr>
                <w:b w:val="false"/>
                <w:bCs w:val="false"/>
                <w:color w:val="000000"/>
                <w:sz w:val="20"/>
                <w:szCs w:val="20"/>
              </w:rPr>
              <w:t xml:space="preserve">Languages covered</w:t>
            </w:r>
          </w:p>
        </w:tc>
        <w:tc>
          <w:tcPr>
            <w:tcW w:type="dxa" w:w="3380"/>
            <w:shd w:fill="F2F2F2" w:val="clear"/>
            <w:tcMar>
              <w:top w:type="dxa" w:w="80"/>
              <w:left w:type="dxa" w:w="100"/>
              <w:bottom w:type="dxa" w:w="80"/>
              <w:right w:type="dxa" w:w="100"/>
            </w:tcMar>
          </w:tcPr>
          <w:p>
            <w:pPr>
              <w:jc w:val="center"/>
            </w:pPr>
            <w:r>
              <w:rPr>
                <w:b w:val="false"/>
                <w:bCs w:val="false"/>
                <w:color w:val="000000"/>
                <w:sz w:val="20"/>
                <w:szCs w:val="20"/>
              </w:rPr>
              <w:t xml:space="preserve">English, Kiswahili, Ekegusii</w:t>
            </w:r>
          </w:p>
        </w:tc>
        <w:tc>
          <w:tcPr>
            <w:tcW w:type="dxa" w:w="3380"/>
            <w:shd w:fill="F2F2F2" w:val="clear"/>
            <w:tcMar>
              <w:top w:type="dxa" w:w="80"/>
              <w:left w:type="dxa" w:w="100"/>
              <w:bottom w:type="dxa" w:w="80"/>
              <w:right w:type="dxa" w:w="100"/>
            </w:tcMar>
          </w:tcPr>
          <w:p>
            <w:pPr>
              <w:jc w:val="center"/>
            </w:pPr>
            <w:r>
              <w:rPr>
                <w:b w:val="false"/>
                <w:bCs w:val="false"/>
                <w:color w:val="000000"/>
                <w:sz w:val="20"/>
                <w:szCs w:val="20"/>
              </w:rPr>
              <w:t xml:space="preserve">English, Kiswahili, Dholuo, Somali</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Missing values</w:t>
            </w:r>
          </w:p>
        </w:tc>
        <w:tc>
          <w:tcPr>
            <w:tcW w:type="dxa" w:w="3380"/>
            <w:tcMar>
              <w:top w:type="dxa" w:w="80"/>
              <w:left w:type="dxa" w:w="100"/>
              <w:bottom w:type="dxa" w:w="80"/>
              <w:right w:type="dxa" w:w="100"/>
            </w:tcMar>
          </w:tcPr>
          <w:p>
            <w:pPr>
              <w:jc w:val="center"/>
            </w:pPr>
            <w:r>
              <w:rPr>
                <w:b w:val="false"/>
                <w:bCs w:val="false"/>
                <w:color w:val="000000"/>
                <w:sz w:val="20"/>
                <w:szCs w:val="20"/>
              </w:rPr>
              <w:t xml:space="preserve">None</w:t>
            </w:r>
          </w:p>
        </w:tc>
        <w:tc>
          <w:tcPr>
            <w:tcW w:type="dxa" w:w="3380"/>
            <w:tcMar>
              <w:top w:type="dxa" w:w="80"/>
              <w:left w:type="dxa" w:w="100"/>
              <w:bottom w:type="dxa" w:w="80"/>
              <w:right w:type="dxa" w:w="100"/>
            </w:tcMar>
          </w:tcPr>
          <w:p>
            <w:pPr>
              <w:jc w:val="center"/>
            </w:pPr>
            <w:r>
              <w:rPr>
                <w:b w:val="false"/>
                <w:bCs w:val="false"/>
                <w:color w:val="000000"/>
                <w:sz w:val="20"/>
                <w:szCs w:val="20"/>
              </w:rPr>
              <w:t xml:space="preserve">1 row (0.006%)</w:t>
            </w:r>
          </w:p>
        </w:tc>
      </w:tr>
      <w:tr>
        <w:tc>
          <w:tcPr>
            <w:tcW w:type="dxa" w:w="2600"/>
            <w:shd w:fill="F2F2F2" w:val="clear"/>
            <w:tcMar>
              <w:top w:type="dxa" w:w="80"/>
              <w:left w:type="dxa" w:w="100"/>
              <w:bottom w:type="dxa" w:w="80"/>
              <w:right w:type="dxa" w:w="100"/>
            </w:tcMar>
          </w:tcPr>
          <w:p>
            <w:pPr>
              <w:jc w:val="left"/>
            </w:pPr>
            <w:r>
              <w:rPr>
                <w:b w:val="false"/>
                <w:bCs w:val="false"/>
                <w:color w:val="000000"/>
                <w:sz w:val="20"/>
                <w:szCs w:val="20"/>
              </w:rPr>
              <w:t xml:space="preserve">Dominant orthographic issue</w:t>
            </w:r>
          </w:p>
        </w:tc>
        <w:tc>
          <w:tcPr>
            <w:tcW w:type="dxa" w:w="3380"/>
            <w:shd w:fill="F2F2F2" w:val="clear"/>
            <w:tcMar>
              <w:top w:type="dxa" w:w="80"/>
              <w:left w:type="dxa" w:w="100"/>
              <w:bottom w:type="dxa" w:w="80"/>
              <w:right w:type="dxa" w:w="100"/>
            </w:tcMar>
          </w:tcPr>
          <w:p>
            <w:pPr>
              <w:jc w:val="center"/>
            </w:pPr>
            <w:r>
              <w:rPr>
                <w:b w:val="false"/>
                <w:bCs w:val="false"/>
                <w:color w:val="000000"/>
                <w:sz w:val="20"/>
                <w:szCs w:val="20"/>
              </w:rPr>
              <w:t xml:space="preserve">Mojibake (multi-layer, needed iterative ftfy repair)</w:t>
            </w:r>
          </w:p>
        </w:tc>
        <w:tc>
          <w:tcPr>
            <w:tcW w:type="dxa" w:w="3380"/>
            <w:shd w:fill="F2F2F2" w:val="clear"/>
            <w:tcMar>
              <w:top w:type="dxa" w:w="80"/>
              <w:left w:type="dxa" w:w="100"/>
              <w:bottom w:type="dxa" w:w="80"/>
              <w:right w:type="dxa" w:w="100"/>
            </w:tcMar>
          </w:tcPr>
          <w:p>
            <w:pPr>
              <w:jc w:val="center"/>
            </w:pPr>
            <w:r>
              <w:rPr>
                <w:b w:val="false"/>
                <w:bCs w:val="false"/>
                <w:color w:val="000000"/>
                <w:sz w:val="20"/>
                <w:szCs w:val="20"/>
              </w:rPr>
              <w:t xml:space="preserve">Curly quotes/apostrophes (concentrated in Dholuo, 8,215 rows)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Boilerplate/address rows found &amp; removed</w:t>
            </w:r>
          </w:p>
        </w:tc>
        <w:tc>
          <w:tcPr>
            <w:tcW w:type="dxa" w:w="3380"/>
            <w:tcMar>
              <w:top w:type="dxa" w:w="80"/>
              <w:left w:type="dxa" w:w="100"/>
              <w:bottom w:type="dxa" w:w="80"/>
              <w:right w:type="dxa" w:w="100"/>
            </w:tcMar>
          </w:tcPr>
          <w:p>
            <w:pPr>
              <w:jc w:val="center"/>
            </w:pPr>
            <w:r>
              <w:rPr>
                <w:b w:val="false"/>
                <w:bCs w:val="false"/>
                <w:color w:val="000000"/>
                <w:sz w:val="20"/>
                <w:szCs w:val="20"/>
              </w:rPr>
              <w:t xml:space="preserve">11 of 17 candidates</w:t>
            </w:r>
          </w:p>
        </w:tc>
        <w:tc>
          <w:tcPr>
            <w:tcW w:type="dxa" w:w="3380"/>
            <w:tcMar>
              <w:top w:type="dxa" w:w="80"/>
              <w:left w:type="dxa" w:w="100"/>
              <w:bottom w:type="dxa" w:w="80"/>
              <w:right w:type="dxa" w:w="100"/>
            </w:tcMar>
          </w:tcPr>
          <w:p>
            <w:pPr>
              <w:jc w:val="center"/>
            </w:pPr>
            <w:r>
              <w:rPr>
                <w:b w:val="false"/>
                <w:bCs w:val="false"/>
                <w:color w:val="000000"/>
                <w:sz w:val="20"/>
                <w:szCs w:val="20"/>
              </w:rPr>
              <w:t xml:space="preserve">0 (flagged rows were legitimate content)</w:t>
            </w:r>
          </w:p>
        </w:tc>
      </w:tr>
      <w:tr>
        <w:tc>
          <w:tcPr>
            <w:tcW w:type="dxa" w:w="2600"/>
            <w:shd w:fill="F2F2F2" w:val="clear"/>
            <w:tcMar>
              <w:top w:type="dxa" w:w="80"/>
              <w:left w:type="dxa" w:w="100"/>
              <w:bottom w:type="dxa" w:w="80"/>
              <w:right w:type="dxa" w:w="100"/>
            </w:tcMar>
          </w:tcPr>
          <w:p>
            <w:pPr>
              <w:jc w:val="left"/>
            </w:pPr>
            <w:r>
              <w:rPr>
                <w:b w:val="false"/>
                <w:bCs w:val="false"/>
                <w:color w:val="000000"/>
                <w:sz w:val="20"/>
                <w:szCs w:val="20"/>
              </w:rPr>
              <w:t xml:space="preserve">Code-switch rows</w:t>
            </w:r>
          </w:p>
        </w:tc>
        <w:tc>
          <w:tcPr>
            <w:tcW w:type="dxa" w:w="3380"/>
            <w:shd w:fill="F2F2F2" w:val="clear"/>
            <w:tcMar>
              <w:top w:type="dxa" w:w="80"/>
              <w:left w:type="dxa" w:w="100"/>
              <w:bottom w:type="dxa" w:w="80"/>
              <w:right w:type="dxa" w:w="100"/>
            </w:tcMar>
          </w:tcPr>
          <w:p>
            <w:pPr>
              <w:jc w:val="center"/>
            </w:pPr>
            <w:r>
              <w:rPr>
                <w:b w:val="false"/>
                <w:bCs w:val="false"/>
                <w:color w:val="000000"/>
                <w:sz w:val="20"/>
                <w:szCs w:val="20"/>
              </w:rPr>
              <w:t xml:space="preserve">1,423 (27.7%)</w:t>
            </w:r>
          </w:p>
        </w:tc>
        <w:tc>
          <w:tcPr>
            <w:tcW w:type="dxa" w:w="3380"/>
            <w:shd w:fill="F2F2F2" w:val="clear"/>
            <w:tcMar>
              <w:top w:type="dxa" w:w="80"/>
              <w:left w:type="dxa" w:w="100"/>
              <w:bottom w:type="dxa" w:w="80"/>
              <w:right w:type="dxa" w:w="100"/>
            </w:tcMar>
          </w:tcPr>
          <w:p>
            <w:pPr>
              <w:jc w:val="center"/>
            </w:pPr>
            <w:r>
              <w:rPr>
                <w:b w:val="false"/>
                <w:bCs w:val="false"/>
                <w:color w:val="000000"/>
                <w:sz w:val="20"/>
                <w:szCs w:val="20"/>
              </w:rPr>
              <w:t xml:space="preserve">~8,500+ rows per language (broader acronym set, 304 candidate tokens)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Glossary size</w:t>
            </w:r>
          </w:p>
        </w:tc>
        <w:tc>
          <w:tcPr>
            <w:tcW w:type="dxa" w:w="3380"/>
            <w:tcMar>
              <w:top w:type="dxa" w:w="80"/>
              <w:left w:type="dxa" w:w="100"/>
              <w:bottom w:type="dxa" w:w="80"/>
              <w:right w:type="dxa" w:w="100"/>
            </w:tcMar>
          </w:tcPr>
          <w:p>
            <w:pPr>
              <w:jc w:val="center"/>
            </w:pPr>
            <w:r>
              <w:rPr>
                <w:b w:val="false"/>
                <w:bCs w:val="false"/>
                <w:color w:val="000000"/>
                <w:sz w:val="20"/>
                <w:szCs w:val="20"/>
              </w:rPr>
              <w:t xml:space="preserve">110 terms (freq ≥ 3)</w:t>
            </w:r>
          </w:p>
        </w:tc>
        <w:tc>
          <w:tcPr>
            <w:tcW w:type="dxa" w:w="3380"/>
            <w:tcMar>
              <w:top w:type="dxa" w:w="80"/>
              <w:left w:type="dxa" w:w="100"/>
              <w:bottom w:type="dxa" w:w="80"/>
              <w:right w:type="dxa" w:w="100"/>
            </w:tcMar>
          </w:tcPr>
          <w:p>
            <w:pPr>
              <w:jc w:val="center"/>
            </w:pPr>
            <w:r>
              <w:rPr>
                <w:b w:val="false"/>
                <w:bCs w:val="false"/>
                <w:color w:val="000000"/>
                <w:sz w:val="20"/>
                <w:szCs w:val="20"/>
              </w:rPr>
              <w:t xml:space="preserve">289 confirmed terms</w:t>
            </w:r>
          </w:p>
        </w:tc>
      </w:tr>
      <w:tr>
        <w:tc>
          <w:tcPr>
            <w:tcW w:type="dxa" w:w="2600"/>
            <w:shd w:fill="F2F2F2" w:val="clear"/>
            <w:tcMar>
              <w:top w:type="dxa" w:w="80"/>
              <w:left w:type="dxa" w:w="100"/>
              <w:bottom w:type="dxa" w:w="80"/>
              <w:right w:type="dxa" w:w="100"/>
            </w:tcMar>
          </w:tcPr>
          <w:p>
            <w:pPr>
              <w:jc w:val="left"/>
            </w:pPr>
            <w:r>
              <w:rPr>
                <w:b w:val="false"/>
                <w:bCs w:val="false"/>
                <w:color w:val="000000"/>
                <w:sz w:val="20"/>
                <w:szCs w:val="20"/>
              </w:rPr>
              <w:t xml:space="preserve">Glossary terms with verified full names</w:t>
            </w:r>
          </w:p>
        </w:tc>
        <w:tc>
          <w:tcPr>
            <w:tcW w:type="dxa" w:w="3380"/>
            <w:shd w:fill="F2F2F2" w:val="clear"/>
            <w:tcMar>
              <w:top w:type="dxa" w:w="80"/>
              <w:left w:type="dxa" w:w="100"/>
              <w:bottom w:type="dxa" w:w="80"/>
              <w:right w:type="dxa" w:w="100"/>
            </w:tcMar>
          </w:tcPr>
          <w:p>
            <w:pPr>
              <w:jc w:val="center"/>
            </w:pPr>
            <w:r>
              <w:rPr>
                <w:b w:val="false"/>
                <w:bCs w:val="false"/>
                <w:color w:val="000000"/>
                <w:sz w:val="20"/>
                <w:szCs w:val="20"/>
              </w:rPr>
              <w:t xml:space="preserve">20 initially confirmed</w:t>
            </w:r>
          </w:p>
        </w:tc>
        <w:tc>
          <w:tcPr>
            <w:tcW w:type="dxa" w:w="3380"/>
            <w:shd w:fill="F2F2F2" w:val="clear"/>
            <w:tcMar>
              <w:top w:type="dxa" w:w="80"/>
              <w:left w:type="dxa" w:w="100"/>
              <w:bottom w:type="dxa" w:w="80"/>
              <w:right w:type="dxa" w:w="100"/>
            </w:tcMar>
          </w:tcPr>
          <w:p>
            <w:pPr>
              <w:jc w:val="center"/>
            </w:pPr>
            <w:r>
              <w:rPr>
                <w:b w:val="false"/>
                <w:bCs w:val="false"/>
                <w:color w:val="000000"/>
                <w:sz w:val="20"/>
                <w:szCs w:val="20"/>
              </w:rPr>
              <w:t xml:space="preserve">60 of 289 (15 + 45)</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Rows removed for translation mismatch</w:t>
            </w:r>
          </w:p>
        </w:tc>
        <w:tc>
          <w:tcPr>
            <w:tcW w:type="dxa" w:w="3380"/>
            <w:tcMar>
              <w:top w:type="dxa" w:w="80"/>
              <w:left w:type="dxa" w:w="100"/>
              <w:bottom w:type="dxa" w:w="80"/>
              <w:right w:type="dxa" w:w="100"/>
            </w:tcMar>
          </w:tcPr>
          <w:p>
            <w:pPr>
              <w:jc w:val="center"/>
            </w:pPr>
            <w:r>
              <w:rPr>
                <w:b w:val="false"/>
                <w:bCs w:val="false"/>
                <w:color w:val="000000"/>
                <w:sz w:val="20"/>
                <w:szCs w:val="20"/>
              </w:rPr>
              <w:t xml:space="preserve">416 (via Jaccard overlap filter)</w:t>
            </w:r>
          </w:p>
        </w:tc>
        <w:tc>
          <w:tcPr>
            <w:tcW w:type="dxa" w:w="3380"/>
            <w:tcMar>
              <w:top w:type="dxa" w:w="80"/>
              <w:left w:type="dxa" w:w="100"/>
              <w:bottom w:type="dxa" w:w="80"/>
              <w:right w:type="dxa" w:w="100"/>
            </w:tcMar>
          </w:tcPr>
          <w:p>
            <w:pPr>
              <w:jc w:val="center"/>
            </w:pPr>
            <w:r>
              <w:rPr>
                <w:b w:val="false"/>
                <w:bCs w:val="false"/>
                <w:color w:val="000000"/>
                <w:sz w:val="20"/>
                <w:szCs w:val="20"/>
              </w:rPr>
              <w:t xml:space="preserve">Not performed at this stage</w:t>
            </w:r>
          </w:p>
        </w:tc>
      </w:tr>
      <w:tr>
        <w:tc>
          <w:tcPr>
            <w:tcW w:type="dxa" w:w="2600"/>
            <w:shd w:fill="F2F2F2" w:val="clear"/>
            <w:tcMar>
              <w:top w:type="dxa" w:w="80"/>
              <w:left w:type="dxa" w:w="100"/>
              <w:bottom w:type="dxa" w:w="80"/>
              <w:right w:type="dxa" w:w="100"/>
            </w:tcMar>
          </w:tcPr>
          <w:p>
            <w:pPr>
              <w:jc w:val="left"/>
            </w:pPr>
            <w:r>
              <w:rPr>
                <w:b w:val="false"/>
                <w:bCs w:val="false"/>
                <w:color w:val="000000"/>
                <w:sz w:val="20"/>
                <w:szCs w:val="20"/>
              </w:rPr>
              <w:t xml:space="preserve">Train/val/test split performed</w:t>
            </w:r>
          </w:p>
        </w:tc>
        <w:tc>
          <w:tcPr>
            <w:tcW w:type="dxa" w:w="3380"/>
            <w:shd w:fill="F2F2F2" w:val="clear"/>
            <w:tcMar>
              <w:top w:type="dxa" w:w="80"/>
              <w:left w:type="dxa" w:w="100"/>
              <w:bottom w:type="dxa" w:w="80"/>
              <w:right w:type="dxa" w:w="100"/>
            </w:tcMar>
          </w:tcPr>
          <w:p>
            <w:pPr>
              <w:jc w:val="center"/>
            </w:pPr>
            <w:r>
              <w:rPr>
                <w:b w:val="false"/>
                <w:bCs w:val="false"/>
                <w:color w:val="000000"/>
                <w:sz w:val="20"/>
                <w:szCs w:val="20"/>
              </w:rPr>
              <w:t xml:space="preserve">Yes — stratified 80/10/10 by domain</w:t>
            </w:r>
          </w:p>
        </w:tc>
        <w:tc>
          <w:tcPr>
            <w:tcW w:type="dxa" w:w="3380"/>
            <w:shd w:fill="F2F2F2" w:val="clear"/>
            <w:tcMar>
              <w:top w:type="dxa" w:w="80"/>
              <w:left w:type="dxa" w:w="100"/>
              <w:bottom w:type="dxa" w:w="80"/>
              <w:right w:type="dxa" w:w="100"/>
            </w:tcMar>
          </w:tcPr>
          <w:p>
            <w:pPr>
              <w:jc w:val="center"/>
            </w:pPr>
            <w:r>
              <w:rPr>
                <w:b w:val="false"/>
                <w:bCs w:val="false"/>
                <w:color w:val="000000"/>
                <w:sz w:val="20"/>
                <w:szCs w:val="20"/>
              </w:rPr>
              <w:t xml:space="preserve">No — deferred to a later stage</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Native-speaker validation sample exported</w:t>
            </w:r>
          </w:p>
        </w:tc>
        <w:tc>
          <w:tcPr>
            <w:tcW w:type="dxa" w:w="3380"/>
            <w:tcMar>
              <w:top w:type="dxa" w:w="80"/>
              <w:left w:type="dxa" w:w="100"/>
              <w:bottom w:type="dxa" w:w="80"/>
              <w:right w:type="dxa" w:w="100"/>
            </w:tcMar>
          </w:tcPr>
          <w:p>
            <w:pPr>
              <w:jc w:val="center"/>
            </w:pPr>
            <w:r>
              <w:rPr>
                <w:b w:val="false"/>
                <w:bCs w:val="false"/>
                <w:color w:val="000000"/>
                <w:sz w:val="20"/>
                <w:szCs w:val="20"/>
              </w:rPr>
              <w:t xml:space="preserve">Not in this notebook</w:t>
            </w:r>
          </w:p>
        </w:tc>
        <w:tc>
          <w:tcPr>
            <w:tcW w:type="dxa" w:w="3380"/>
            <w:tcMar>
              <w:top w:type="dxa" w:w="80"/>
              <w:left w:type="dxa" w:w="100"/>
              <w:bottom w:type="dxa" w:w="80"/>
              <w:right w:type="dxa" w:w="100"/>
            </w:tcMar>
          </w:tcPr>
          <w:p>
            <w:pPr>
              <w:jc w:val="center"/>
            </w:pPr>
            <w:r>
              <w:rPr>
                <w:b w:val="false"/>
                <w:bCs w:val="false"/>
                <w:color w:val="000000"/>
                <w:sz w:val="20"/>
                <w:szCs w:val="20"/>
              </w:rPr>
              <w:t xml:space="preserve">Yes — 500 rows, stratified by domain</w:t>
            </w:r>
          </w:p>
        </w:tc>
      </w:tr>
    </w:tbl>
    <w:p>
      <w:pPr>
        <w:spacing w:after="220" w:before="60"/>
      </w:pPr>
      <w:r>
        <w:rPr>
          <w:i/>
          <w:iCs/>
          <w:color w:val="555555"/>
          <w:sz w:val="20"/>
          <w:szCs w:val="20"/>
        </w:rPr>
        <w:t xml:space="preserve">Table 8. Side-by-side comparison of the two preprocessing/EDA tracks.</w:t>
      </w:r>
    </w:p>
    <w:p>
      <w:pPr>
        <w:spacing w:after="160" w:line="276"/>
      </w:pPr>
      <w:r>
        <w:t xml:space="preserve">Both tracks converge on the same broad tokenization finding: English is consistently the least fragmented under an mBERT proxy tokenizer, and every target language shows measurably higher tokens-per-word — but in both cases, the notebooks explicitly caution that this partly reflects the tokenizer's lack of training exposure to these languages rather than purely their linguistic complexity. Both tracks also independently converged on the same code-switching insight: institutional and health acronyms are a structural, not incidental, feature of PSA text in all five target languages, and both notebooks treat retaining them (rather than translating or stripping them) as the linguistically correct default, subject to native-speaker confirmation.</w:t>
      </w:r>
    </w:p>
    <w:p>
      <w:pPr>
        <w:pStyle w:val="Heading1"/>
        <w:spacing w:after="160" w:before="320"/>
      </w:pPr>
      <w:r>
        <w:t xml:space="preserve">3. Consolidated Limitations</w:t>
      </w:r>
    </w:p>
    <w:p>
      <w:pPr>
        <w:pStyle w:val="ListParagraph"/>
        <w:numPr>
          <w:ilvl w:val="0"/>
          <w:numId w:val="2"/>
        </w:numPr>
        <w:spacing w:after="80"/>
      </w:pPr>
      <w:r>
        <w:t xml:space="preserve">Both mojibake repair (Ekegusii) and the acronym/code-switch detection heuristics (both tracks) required multiple corrective iterations after initial approaches produced misleading results (undercounted corruption, over-flagged legitimate all-caps or apostrophe-containing text). While all identified issues were eventually resolved or explicitly flagged, this shows automated heuristics on low-resource, unfamiliar-orthography languages need active verification, not one-pass trust.</w:t>
      </w:r>
    </w:p>
    <w:p>
      <w:pPr>
        <w:pStyle w:val="ListParagraph"/>
        <w:numPr>
          <w:ilvl w:val="0"/>
          <w:numId w:val="2"/>
        </w:numPr>
        <w:spacing w:after="80"/>
      </w:pPr>
      <w:r>
        <w:t xml:space="preserve">The mBERT tokenizer used as a fragmentation proxy in both tracks has no meaningful training exposure to Ekegusii, Dholuo, or Somali, so tokens-per-word comparisons partly reflect tokenizer unfamiliarity rather than pure linguistic complexity — both notebooks flag this explicitly rather than presenting the ratios as a clean complexity measure.</w:t>
      </w:r>
    </w:p>
    <w:p>
      <w:pPr>
        <w:pStyle w:val="ListParagraph"/>
        <w:numPr>
          <w:ilvl w:val="0"/>
          <w:numId w:val="2"/>
        </w:numPr>
        <w:spacing w:after="80"/>
      </w:pPr>
      <w:r>
        <w:t xml:space="preserve">A majority of glossary entries in both tracks remain unresolved pending native-speaker review: 229 of 289 terms (79%) in the Dholuo/Somali glossary, and a similar share of the long-tail terms in the Ekegusii glossary beyond the 20 initially confirmed. Native-speaker validation was in progress, not complete, at the time both notebooks were finalized.</w:t>
      </w:r>
    </w:p>
    <w:p>
      <w:pPr>
        <w:pStyle w:val="ListParagraph"/>
        <w:numPr>
          <w:ilvl w:val="0"/>
          <w:numId w:val="2"/>
        </w:numPr>
        <w:spacing w:after="80"/>
      </w:pPr>
      <w:r>
        <w:t xml:space="preserve">The Ekegusii track's translation-mismatch filter and the Dholuo/Somali track's Somali-column word-overlap analysis both rely on a simple English word-overlap heuristic (Jaccard similarity) to flag likely mismatched translations — a reasonable proxy but not a substitute for actual bilingual review of flagged rows.</w:t>
      </w:r>
    </w:p>
    <w:p>
      <w:pPr>
        <w:pStyle w:val="ListParagraph"/>
        <w:numPr>
          <w:ilvl w:val="0"/>
          <w:numId w:val="2"/>
        </w:numPr>
        <w:spacing w:after="80"/>
      </w:pPr>
      <w:r>
        <w:t xml:space="preserve">Domain-labeling inconsistencies remain unresolved in the Dholuo/Somali track (the Security vs. Security &amp; Safety split) pending a team decision, and were not addressed in this stage.</w:t>
      </w:r>
    </w:p>
    <w:p>
      <w:pPr>
        <w:pStyle w:val="ListParagraph"/>
        <w:numPr>
          <w:ilvl w:val="0"/>
          <w:numId w:val="2"/>
        </w:numPr>
        <w:spacing w:after="80"/>
      </w:pPr>
      <w:r>
        <w:t xml:space="preserve">The Dholuo/Somali track did not perform duplicate-translation investigation, mismatch removal, or a train/validation/test split within this notebook — these steps, which were completed for Ekegusii, remain outstanding for this track.</w:t>
      </w:r>
    </w:p>
    <w:p>
      <w:pPr>
        <w:pStyle w:val="ListParagraph"/>
        <w:numPr>
          <w:ilvl w:val="0"/>
          <w:numId w:val="2"/>
        </w:numPr>
        <w:spacing w:after="80"/>
      </w:pPr>
      <w:r>
        <w:t xml:space="preserve">The Dholuo/Somali TTR comparison is affected by a known corpus-size confound (TTR mechanically shrinks as word count grows), so the low Dholuo TTR is not a fully like-for-like comparison against the other three languages without further normalization.</w:t>
      </w:r>
    </w:p>
    <w:p>
      <w:pPr>
        <w:pStyle w:val="ListParagraph"/>
        <w:numPr>
          <w:ilvl w:val="0"/>
          <w:numId w:val="2"/>
        </w:numPr>
        <w:spacing w:after="80"/>
      </w:pPr>
      <w:r>
        <w:t xml:space="preserve">One narrow, documented edge case (PSA_Id 2831, Somali) was knowingly left unfixed — a lowercase-initial English caption not caught by the caption-stripping regex — rather than complicating the detector for a single row.</w:t>
      </w:r>
    </w:p>
    <w:p>
      <w:pPr>
        <w:pStyle w:val="Heading1"/>
        <w:spacing w:after="160" w:before="320"/>
      </w:pPr>
      <w:r>
        <w:t xml:space="preserve">4. Conclusions</w:t>
      </w:r>
    </w:p>
    <w:p>
      <w:pPr>
        <w:spacing w:after="160" w:line="276"/>
      </w:pPr>
      <w:r>
        <w:t xml:space="preserve">This stage established data-quality foundations for both language tracks of the multilingual PSA translation project through systematic, iteratively-verified cleaning rather than a single automated pass. The Ekegusii track progressed furthest: it quantified and resolved multi-layer encoding corruption, separated genuine translation reuse from real translation errors using a word-overlap heuristic, removed confirmed non-PSA boilerplate content, built an initial institutional glossary, and produced a final, stratified, model-ready 4,728-row dataset split into train/validation/test sets.</w:t>
      </w:r>
    </w:p>
    <w:p>
      <w:pPr>
        <w:spacing w:after="160" w:line="276"/>
      </w:pPr>
      <w:r>
        <w:t xml:space="preserve">The Dholuo/Somali track, built on the same methodology, correctly avoided over-applying Ekegusii's cleaning patterns where they didn't fit this dataset — notably, its boilerplate detector correctly recognized that flagged rows were legitimate hotline-number content rather than scraped addresses, and an over-broad caption-stripping pass was caught and reverted before it could damage genuine capitalized Dholuo/Somali text. It produced a substantially larger institutional glossary (289 confirmed terms) and exported a native-speaker validation sample, but stops short of final mismatch-filtering and train/validation/test splitting, which remain as next steps.</w:t>
      </w:r>
    </w:p>
    <w:p>
      <w:pPr>
        <w:spacing w:after="160" w:line="276"/>
      </w:pPr>
      <w:r>
        <w:t xml:space="preserve">Across both tracks, the EDA confirmed that all target languages (Ekegusii, Dholuo, Somali) are measurably more morphologically complex than English by subword-fragmentation and word-length metrics, that domain balance requires active management (via stratification and/or class weighting) rather than being taken for granted, and that code-switched institutional acronyms are a real, structural linguistic feature that both tracks correctly chose to preserve rather than translate.</w:t>
      </w:r>
    </w:p>
    <w:p>
      <w:pPr>
        <w:pStyle w:val="Heading1"/>
        <w:spacing w:after="160" w:before="320"/>
      </w:pPr>
      <w:r>
        <w:t xml:space="preserve">5. Recommendations and Next Steps</w:t>
      </w:r>
    </w:p>
    <w:p>
      <w:pPr>
        <w:pStyle w:val="ListParagraph"/>
        <w:numPr>
          <w:ilvl w:val="0"/>
          <w:numId w:val="2"/>
        </w:numPr>
        <w:spacing w:after="80"/>
      </w:pPr>
      <w:r>
        <w:t xml:space="preserve">Complete native-speaker review of both glossaries (110 Ekegusii terms beyond the initial 20; 229 Dholuo/Somali terms) and the exported low-frequency token lists, to finalize canonical target-language renderings.</w:t>
      </w:r>
    </w:p>
    <w:p>
      <w:pPr>
        <w:pStyle w:val="ListParagraph"/>
        <w:numPr>
          <w:ilvl w:val="0"/>
          <w:numId w:val="2"/>
        </w:numPr>
        <w:spacing w:after="80"/>
      </w:pPr>
      <w:r>
        <w:t xml:space="preserve">Complete the 500-row native-speaker validation sample scoring for the Dholuo/Somali track to obtain human-judged accuracy/fluency baselines before modeling.</w:t>
      </w:r>
    </w:p>
    <w:p>
      <w:pPr>
        <w:pStyle w:val="ListParagraph"/>
        <w:numPr>
          <w:ilvl w:val="0"/>
          <w:numId w:val="2"/>
        </w:numPr>
        <w:spacing w:after="80"/>
      </w:pPr>
      <w:r>
        <w:t xml:space="preserve">Run the Ekegusii track's duplicate/mismatch investigation and word-overlap-based filtering on the Dholuo/Somali dataset, since it was not yet performed there, to catch any analogous mismatched-translation rows.</w:t>
      </w:r>
    </w:p>
    <w:p>
      <w:pPr>
        <w:pStyle w:val="ListParagraph"/>
        <w:numPr>
          <w:ilvl w:val="0"/>
          <w:numId w:val="2"/>
        </w:numPr>
        <w:spacing w:after="80"/>
      </w:pPr>
      <w:r>
        <w:t xml:space="preserve">Resolve the Security / Security &amp; Safety domain-labeling question with the team before the domain distribution is presented as final for the Dholuo/Somali track.</w:t>
      </w:r>
    </w:p>
    <w:p>
      <w:pPr>
        <w:pStyle w:val="ListParagraph"/>
        <w:numPr>
          <w:ilvl w:val="0"/>
          <w:numId w:val="2"/>
        </w:numPr>
        <w:spacing w:after="80"/>
      </w:pPr>
      <w:r>
        <w:t xml:space="preserve">Produce a stratified train/validation/test split for the Dholuo/Somali dataset (mirroring the Ekegusii track's approach) once mismatch-filtering and glossary review are complete.</w:t>
      </w:r>
    </w:p>
    <w:p>
      <w:pPr>
        <w:pStyle w:val="ListParagraph"/>
        <w:numPr>
          <w:ilvl w:val="0"/>
          <w:numId w:val="2"/>
        </w:numPr>
        <w:spacing w:after="80"/>
      </w:pPr>
      <w:r>
        <w:t xml:space="preserve">Consider a language-specific or Bantu/Cushitic-family tokenizer for a cleaner (less tokenizer-unfamiliarity-confounded) view of true morphological complexity across Ekegusii, Dholuo, and Somali.</w:t>
      </w:r>
    </w:p>
    <w:p>
      <w:pPr>
        <w:pStyle w:val="ListParagraph"/>
        <w:numPr>
          <w:ilvl w:val="0"/>
          <w:numId w:val="2"/>
        </w:numPr>
        <w:spacing w:after="80"/>
      </w:pPr>
      <w:r>
        <w:t xml:space="preserve">Fix or formally accept the single documented Somali caption edge case (PSA_Id 2831) before this dataset is treated as final.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2026-08-07T18:47:30.659Z</dcterms:created>
  <dcterms:modified xsi:type="dcterms:W3CDTF">2026-08-07T18:47:30.679Z</dcterms:modified>
</cp:coreProperties>
</file>

<file path=docProps/custom.xml><?xml version="1.0" encoding="utf-8"?>
<Properties xmlns="http://schemas.openxmlformats.org/officeDocument/2006/custom-properties" xmlns:vt="http://schemas.openxmlformats.org/officeDocument/2006/docPropsVTypes"/>
</file>