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2E5B4C"/>
        </w:rPr>
        <w:t>PSA Machine Translation Project</w:t>
      </w:r>
    </w:p>
    <w:p>
      <w:r>
        <w:rPr>
          <w:color w:val="595959"/>
          <w:sz w:val="28"/>
        </w:rPr>
        <w:t>Week 2 Day Plan — Preprocessing &amp; EDA</w:t>
      </w:r>
    </w:p>
    <w:p>
      <w:r>
        <w:t>Team: Patricia, Stephen, Selmah, Rencia, Trizzah</w:t>
      </w:r>
    </w:p>
    <w:p>
      <w:pPr>
        <w:pStyle w:val="Heading1"/>
      </w:pPr>
      <w:r>
        <w:t>Team Split</w:t>
      </w:r>
    </w:p>
    <w:p>
      <w:r>
        <w:t>Two sub-teams work in parallel on the two dataset tracks, using the same notebook template and procedures so results are directly comparable. (Names below are a suggested split — swap if it doesn't match who's actually available today.)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E5B4C"/>
          </w:tcPr>
          <w:p>
            <w:r>
              <w:t>Track</w:t>
            </w:r>
          </w:p>
        </w:tc>
        <w:tc>
          <w:tcPr>
            <w:tcW w:type="dxa" w:w="2880"/>
            <w:shd w:fill="2E5B4C"/>
          </w:tcPr>
          <w:p>
            <w:r>
              <w:t>Team</w:t>
            </w:r>
          </w:p>
        </w:tc>
        <w:tc>
          <w:tcPr>
            <w:tcW w:type="dxa" w:w="2880"/>
            <w:shd w:fill="2E5B4C"/>
          </w:tcPr>
          <w:p>
            <w:r>
              <w:t>Dataset</w:t>
            </w:r>
          </w:p>
        </w:tc>
      </w:tr>
      <w:tr>
        <w:tc>
          <w:tcPr>
            <w:tcW w:type="dxa" w:w="2880"/>
          </w:tcPr>
          <w:p>
            <w:r>
              <w:t>Ekegusii</w:t>
            </w:r>
          </w:p>
        </w:tc>
        <w:tc>
          <w:tcPr>
            <w:tcW w:type="dxa" w:w="2880"/>
          </w:tcPr>
          <w:p>
            <w:r>
              <w:t>Selmah, Rencia</w:t>
            </w:r>
          </w:p>
        </w:tc>
        <w:tc>
          <w:tcPr>
            <w:tcW w:type="dxa" w:w="2880"/>
          </w:tcPr>
          <w:p>
            <w:r>
              <w:t>psa_dataset_ekegusii.csv</w:t>
            </w:r>
          </w:p>
        </w:tc>
      </w:tr>
      <w:tr>
        <w:tc>
          <w:tcPr>
            <w:tcW w:type="dxa" w:w="2880"/>
          </w:tcPr>
          <w:p>
            <w:r>
              <w:t>Dholuo + Somali</w:t>
            </w:r>
          </w:p>
        </w:tc>
        <w:tc>
          <w:tcPr>
            <w:tcW w:type="dxa" w:w="2880"/>
          </w:tcPr>
          <w:p>
            <w:r>
              <w:t>Patricia, Stephen, Trizzah</w:t>
            </w:r>
          </w:p>
        </w:tc>
        <w:tc>
          <w:tcPr>
            <w:tcW w:type="dxa" w:w="2880"/>
          </w:tcPr>
          <w:p>
            <w:r>
              <w:t>psa_dataset_dholuo_somali.csv</w:t>
            </w:r>
          </w:p>
        </w:tc>
      </w:tr>
    </w:tbl>
    <w:p/>
    <w:p>
      <w:r>
        <w:t>Selmah sets up the shared notebook template and procedures first (see Section 2), before either sub-team starts running it — this avoids two teams independently inventing different cleaning rules.</w:t>
      </w:r>
    </w:p>
    <w:p>
      <w:pPr>
        <w:pStyle w:val="Heading1"/>
      </w:pPr>
      <w:r>
        <w:t>1. Shared Procedures (apply to both tracks identically)</w:t>
      </w:r>
    </w:p>
    <w:p>
      <w:r>
        <w:t>Both sub-teams use the same notebook (one copy per dataset), and every step is explained in markdown cells before the code that runs it — not just code with no narration. Each notebook should read as a document someone unfamiliar with the project could follow, not just a script log.</w:t>
      </w:r>
    </w:p>
    <w:p>
      <w:pPr>
        <w:pStyle w:val="ListBullet"/>
      </w:pPr>
      <w:r>
        <w:t>Every code cell has a markdown cell above it explaining what it does and why.</w:t>
      </w:r>
    </w:p>
    <w:p>
      <w:pPr>
        <w:pStyle w:val="ListBullet"/>
      </w:pPr>
      <w:r>
        <w:t>Every major result (a chart, a stat, a filtering step) has a short written interpretation directly below it — not just the output with no comment.</w:t>
      </w:r>
    </w:p>
    <w:p>
      <w:pPr>
        <w:pStyle w:val="ListBullet"/>
      </w:pPr>
      <w:r>
        <w:t>Use the same cleaning stages, thresholds, and column names in both notebooks.</w:t>
      </w:r>
    </w:p>
    <w:p>
      <w:pPr>
        <w:pStyle w:val="ListBullet"/>
      </w:pPr>
      <w:r>
        <w:t>Save the final notebook with all outputs/charts visible (Run All before saving) so it doesn't need to be re-executed to be read.</w:t>
      </w:r>
    </w:p>
    <w:p>
      <w:pPr>
        <w:pStyle w:val="Heading1"/>
      </w:pPr>
      <w:r>
        <w:t>2. Task Breakdown</w:t>
      </w:r>
    </w:p>
    <w:p>
      <w:pPr>
        <w:pStyle w:val="Heading2"/>
      </w:pPr>
      <w:r>
        <w:t>2.1 Preprocessing pipeline</w:t>
      </w:r>
    </w:p>
    <w:p>
      <w:pPr>
        <w:pStyle w:val="ListBullet"/>
      </w:pPr>
      <w:r>
        <w:t>Normalization: whitespace, mojibake repair, Unicode normalization, control characters, HTML/URL residue, smart quotes (already built — reuse as-is).</w:t>
      </w:r>
    </w:p>
    <w:p>
      <w:pPr>
        <w:pStyle w:val="ListBullet"/>
      </w:pPr>
      <w:r>
        <w:t>Tokenization: run each language column through a subword tokenizer (e.g. the tokenizer from a candidate pretrained model such as NLLB or mT5) and report average tokens-per-word for English, Kiswahili, and the target language. This matters because MT models operate on subword tokens, not words — a language with a high tokens-per-word ratio may need more training data to perform well.</w:t>
      </w:r>
    </w:p>
    <w:p>
      <w:pPr>
        <w:pStyle w:val="ListBullet"/>
      </w:pPr>
      <w:r>
        <w:t>Code-switching handling: detect English/Latin-script words embedded inside target-language sentences (common for institution names like KUCCPS, SHA, NTSA). Flag these rather than treating them as errors — retaining the original name is usually correct, but should be a deliberate decision, not an accident.</w:t>
      </w:r>
    </w:p>
    <w:p>
      <w:pPr>
        <w:pStyle w:val="ListBullet"/>
      </w:pPr>
      <w:r>
        <w:t>Glossary for cultural/technical terms: build a lookup table of proper nouns and institutional terms with their canonical target-language rendering, so the same term is translated consistently everywhere it appears. The existing kenya_facts.json knowledge base is a natural starting point — it already lists every real institution/programme referenced in the grounded-generated data.</w:t>
      </w:r>
    </w:p>
    <w:p>
      <w:pPr>
        <w:pStyle w:val="Heading2"/>
      </w:pPr>
      <w:r>
        <w:t>2.2 Full EDA</w:t>
      </w:r>
    </w:p>
    <w:p>
      <w:pPr>
        <w:pStyle w:val="ListBullet"/>
      </w:pPr>
      <w:r>
        <w:t>Domain distribution — both pie chart and bar chart (bar chart already built; add pie chart alongside it).</w:t>
      </w:r>
    </w:p>
    <w:p>
      <w:pPr>
        <w:pStyle w:val="ListBullet"/>
      </w:pPr>
      <w:r>
        <w:t>Text length histograms — already built, overlaid per language.</w:t>
      </w:r>
    </w:p>
    <w:p>
      <w:pPr>
        <w:pStyle w:val="ListBullet"/>
      </w:pPr>
      <w:r>
        <w:t>Vocabulary size — already built (unique token count); add type-token ratio (vocabulary size ÷ total tokens) as a richness measure.</w:t>
      </w:r>
    </w:p>
    <w:p>
      <w:pPr>
        <w:pStyle w:val="ListBullet"/>
      </w:pPr>
      <w:r>
        <w:t>Language-pair statistics — average sentence length ratio between English and the target language, correlation between source and target length, and estimated out-of-vocabulary rate against a reference wordlist if available.</w:t>
      </w:r>
    </w:p>
    <w:p>
      <w:pPr>
        <w:pStyle w:val="Heading2"/>
      </w:pPr>
      <w:r>
        <w:t>2.3 Native-speaker validation subset</w:t>
      </w:r>
    </w:p>
    <w:p>
      <w:pPr>
        <w:pStyle w:val="ListBullet"/>
      </w:pPr>
      <w:r>
        <w:t>Sample ~500 sentences per dataset, stratified by domain so all 5 domains are represented proportionally.</w:t>
      </w:r>
    </w:p>
    <w:p>
      <w:pPr>
        <w:pStyle w:val="ListBullet"/>
      </w:pPr>
      <w:r>
        <w:t>Export as a review sheet: English, Kiswahili, target language, and blank columns for Accuracy (1-5), Fluency (1-5), and Comments.</w:t>
      </w:r>
    </w:p>
    <w:p>
      <w:pPr>
        <w:pStyle w:val="ListBullet"/>
      </w:pPr>
      <w:r>
        <w:t>Rencia leads native-speaker review for Dholuo; identify/confirm a reviewer for Ekegusii (a classmate, the professor, or a contact) since the current team doesn't have a confirmed Ekegusii speaker on record.</w:t>
      </w:r>
    </w:p>
    <w:p>
      <w:pPr>
        <w:pStyle w:val="ListBullet"/>
      </w:pPr>
      <w:r>
        <w:t>Feedback collected today can be partial — flag this as an ongoing task into next week if 500 sentences can't be fully reviewed by evening.</w:t>
      </w:r>
    </w:p>
    <w:p>
      <w:pPr>
        <w:pStyle w:val="Heading2"/>
      </w:pPr>
      <w:r>
        <w:t>2.4 Handling known issues</w:t>
      </w:r>
    </w:p>
    <w:p>
      <w:pPr>
        <w:pStyle w:val="ListBullet"/>
      </w:pPr>
      <w:r>
        <w:t>Missing translations: already mostly resolved; document the final count of any remaining gaps and why they exist.</w:t>
      </w:r>
    </w:p>
    <w:p>
      <w:pPr>
        <w:pStyle w:val="ListBullet"/>
      </w:pPr>
      <w:r>
        <w:t>Orthographic variation: Dholuo and Ekegusii both use apostrophes/diacritics that may be entered inconsistently (e.g. different apostrophe characters for the same sound). Scan for this and propose a standardization rule, ideally confirmed with a native speaker rather than decided unilaterally.</w:t>
      </w:r>
    </w:p>
    <w:p>
      <w:pPr>
        <w:pStyle w:val="ListBullet"/>
      </w:pPr>
      <w:r>
        <w:t>Domain imbalance: document the actual final domain counts per dataset and state plainly whether it's balanced enough for training or needs weighted sampling later — don't leave this as an unstated assumption.</w:t>
      </w:r>
    </w:p>
    <w:p>
      <w:pPr>
        <w:pStyle w:val="Heading2"/>
      </w:pPr>
      <w:r>
        <w:t>2.5 Version control</w:t>
      </w:r>
    </w:p>
    <w:p>
      <w:pPr>
        <w:pStyle w:val="ListBullet"/>
      </w:pPr>
      <w:r>
        <w:t>Check the size of the final cleaned CSVs before deciding on tooling — plain Git is fine under GitHub's ~100MB file limit; Git LFS or DVC is only actually necessary if a file approaches that.</w:t>
      </w:r>
    </w:p>
    <w:p>
      <w:pPr>
        <w:pStyle w:val="ListBullet"/>
      </w:pPr>
      <w:r>
        <w:t>If needed, set up Git LFS (simpler, sufficient for this project's scale) rather than DVC (built for larger, versioned data pipelines this project doesn't need).</w:t>
      </w:r>
    </w:p>
    <w:p>
      <w:pPr>
        <w:pStyle w:val="ListBullet"/>
      </w:pPr>
      <w:r>
        <w:t>Either way, commit the final cleaned datasets with a clear commit message referencing this Week 2 milestone.</w:t>
      </w:r>
    </w:p>
    <w:p>
      <w:pPr>
        <w:pStyle w:val="Heading2"/>
      </w:pPr>
      <w:r>
        <w:t>2.6 Train / Dev / Test splits</w:t>
      </w:r>
    </w:p>
    <w:p>
      <w:r>
        <w:t>Already implemented in the shared notebook (80/10/10, stratified by domain). Confirm both sub-teams' splits look reasonable before finalizing.</w:t>
      </w:r>
    </w:p>
    <w:p>
      <w:pPr>
        <w:pStyle w:val="Heading1"/>
      </w:pPr>
      <w:r>
        <w:t>3. Day Timeline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E5B4C"/>
          </w:tcPr>
          <w:p>
            <w:r>
              <w:t>When</w:t>
            </w:r>
          </w:p>
        </w:tc>
        <w:tc>
          <w:tcPr>
            <w:tcW w:type="dxa" w:w="2880"/>
            <w:shd w:fill="2E5B4C"/>
          </w:tcPr>
          <w:p>
            <w:r>
              <w:t>Ekegusii Team</w:t>
            </w:r>
          </w:p>
        </w:tc>
        <w:tc>
          <w:tcPr>
            <w:tcW w:type="dxa" w:w="2880"/>
            <w:shd w:fill="2E5B4C"/>
          </w:tcPr>
          <w:p>
            <w:r>
              <w:t>Dholuo + Somali Team</w:t>
            </w:r>
          </w:p>
        </w:tc>
      </w:tr>
      <w:tr>
        <w:tc>
          <w:tcPr>
            <w:tcW w:type="dxa" w:w="2880"/>
          </w:tcPr>
          <w:p>
            <w:r>
              <w:t>Morning</w:t>
            </w:r>
          </w:p>
        </w:tc>
        <w:tc>
          <w:tcPr>
            <w:tcW w:type="dxa" w:w="2880"/>
          </w:tcPr>
          <w:p>
            <w:r>
              <w:t>Selmah finalizes the shared notebook template (normalization, tokenization, glossary scaffold) and shares it with both teams.</w:t>
            </w:r>
          </w:p>
        </w:tc>
        <w:tc>
          <w:tcPr>
            <w:tcW w:type="dxa" w:w="2880"/>
          </w:tcPr>
          <w:p>
            <w:r>
              <w:t>Review the shared notebook once Selmah shares it; prep the 500-sentence validation sample format in parallel.</w:t>
            </w:r>
          </w:p>
        </w:tc>
      </w:tr>
      <w:tr>
        <w:tc>
          <w:tcPr>
            <w:tcW w:type="dxa" w:w="2880"/>
          </w:tcPr>
          <w:p>
            <w:r>
              <w:t>Midday</w:t>
            </w:r>
          </w:p>
        </w:tc>
        <w:tc>
          <w:tcPr>
            <w:tcW w:type="dxa" w:w="2880"/>
          </w:tcPr>
          <w:p>
            <w:r>
              <w:t>Run the notebook on the Ekegusii dataset: preprocessing + EDA sections. Selmah documents interpretation of each chart as it's produced.</w:t>
            </w:r>
          </w:p>
        </w:tc>
        <w:tc>
          <w:tcPr>
            <w:tcW w:type="dxa" w:w="2880"/>
          </w:tcPr>
          <w:p>
            <w:r>
              <w:t>Run the notebook on the Dholuo/Somali dataset: preprocessing + EDA sections. Trizzah documents interpretation of each chart as it's produced.</w:t>
            </w:r>
          </w:p>
        </w:tc>
      </w:tr>
      <w:tr>
        <w:tc>
          <w:tcPr>
            <w:tcW w:type="dxa" w:w="2880"/>
          </w:tcPr>
          <w:p>
            <w:r>
              <w:t>Afternoon</w:t>
            </w:r>
          </w:p>
        </w:tc>
        <w:tc>
          <w:tcPr>
            <w:tcW w:type="dxa" w:w="2880"/>
          </w:tcPr>
          <w:p>
            <w:r>
              <w:t>Build the glossary of Ekegusii institutional terms. Rencia begins native-speaker review of the 500-sentence sample.</w:t>
            </w:r>
          </w:p>
        </w:tc>
        <w:tc>
          <w:tcPr>
            <w:tcW w:type="dxa" w:w="2880"/>
          </w:tcPr>
          <w:p>
            <w:r>
              <w:t>Build the glossary of Dholuo/Somali institutional terms (reuse kenya_facts.json as the base). Stephen checks for orthographic variation issues; Patricia documents domain balance findings.</w:t>
            </w:r>
          </w:p>
        </w:tc>
      </w:tr>
      <w:tr>
        <w:tc>
          <w:tcPr>
            <w:tcW w:type="dxa" w:w="2880"/>
          </w:tcPr>
          <w:p>
            <w:r>
              <w:t>Evening</w:t>
            </w:r>
          </w:p>
        </w:tc>
        <w:tc>
          <w:tcPr>
            <w:tcW w:type="dxa" w:w="2880"/>
          </w:tcPr>
          <w:p>
            <w:r>
              <w:t>Finalize cleaned dataset + splits, commit to Git. Compile notebook with all sections documented.</w:t>
            </w:r>
          </w:p>
        </w:tc>
        <w:tc>
          <w:tcPr>
            <w:tcW w:type="dxa" w:w="2880"/>
          </w:tcPr>
          <w:p>
            <w:r>
              <w:t>Finalize cleaned dataset + splits, commit to Git. Compile notebook with all sections documented.</w:t>
            </w:r>
          </w:p>
        </w:tc>
      </w:tr>
      <w:tr>
        <w:tc>
          <w:tcPr>
            <w:tcW w:type="dxa" w:w="2880"/>
          </w:tcPr>
          <w:p>
            <w:r>
              <w:t>End of day</w:t>
            </w:r>
          </w:p>
        </w:tc>
        <w:tc>
          <w:tcPr>
            <w:tcW w:type="dxa" w:w="5760"/>
            <w:gridSpan w:val="2"/>
          </w:tcPr>
          <w:p>
            <w:r>
              <w:t>Whole team: quick review together — compare both notebooks for consistency, confirm success criteria met, prep for supervisor check-in.</w:t>
            </w:r>
          </w:p>
          <w:p>
            <w:r/>
          </w:p>
        </w:tc>
      </w:tr>
    </w:tbl>
    <w:p>
      <w:pPr>
        <w:pStyle w:val="Heading1"/>
      </w:pPr>
      <w:r>
        <w:t>4. Success Criteria</w:t>
      </w:r>
    </w:p>
    <w:p>
      <w:pPr>
        <w:pStyle w:val="ListBullet"/>
      </w:pPr>
      <w:r>
        <w:t>EDA visuals complete for both datasets (domain pie/bar, length histograms, vocabulary size, language-pair statistics).</w:t>
      </w:r>
    </w:p>
    <w:p>
      <w:pPr>
        <w:pStyle w:val="ListBullet"/>
      </w:pPr>
      <w:r>
        <w:t>Cleaned datasets ready, version-controlled, with train/dev/test splits.</w:t>
      </w:r>
    </w:p>
    <w:p>
      <w:pPr>
        <w:pStyle w:val="ListBullet"/>
      </w:pPr>
      <w:r>
        <w:t>Preprocessing code is reusable (parametrized, not hardcoded per-dataset).</w:t>
      </w:r>
    </w:p>
    <w:p>
      <w:pPr>
        <w:pStyle w:val="ListBullet"/>
      </w:pPr>
      <w:r>
        <w:t>~500-sentence native-speaker validation sample created for each language (review may still be in progress, but the sample must exist).</w:t>
      </w:r>
    </w:p>
    <w:p>
      <w:pPr>
        <w:pStyle w:val="ListBullet"/>
      </w:pPr>
      <w:r>
        <w:t>Every notebook section has both an explanation before the code and an interpretation after the results — not just code and charts alone.</w:t>
      </w:r>
    </w:p>
    <w:p>
      <w:pPr>
        <w:pStyle w:val="ListBullet"/>
      </w:pPr>
      <w:r>
        <w:t>Known issues (missing translations, orthographic variation, domain imbalance) are documented, not silently ignored.</w:t>
      </w:r>
    </w:p>
    <w:p>
      <w:pPr>
        <w:pStyle w:val="Heading1"/>
      </w:pPr>
      <w:r>
        <w:t>Note</w:t>
      </w:r>
    </w:p>
    <w:p>
      <w:r>
        <w:rPr>
          <w:i/>
          <w:color w:val="8A3B12"/>
        </w:rPr>
        <w:t>This is an ambitious list for one day. If the native-speaker validation feedback or the full glossary isn't finished by evening, that's fine — flag it honestly as in-progress for the team review rather than rushing and reporting it as done when it isn't.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