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Fine-Tuning NLLB-200 for English–Ekegusii and Kiswahili–Ekegusii Machine Translation</w:t>
      </w:r>
    </w:p>
    <w:p>
      <w:pPr>
        <w:spacing w:after="60"/>
        <w:jc w:val="center"/>
      </w:pPr>
      <w:r>
        <w:rPr>
          <w:color w:val="444444"/>
          <w:sz w:val="24"/>
          <w:szCs w:val="24"/>
        </w:rPr>
        <w:t xml:space="preserve">Project Report — Multilingual PSA Translation Project</w:t>
      </w:r>
    </w:p>
    <w:p>
      <w:pPr>
        <w:spacing w:after="400"/>
        <w:jc w:val="center"/>
      </w:pPr>
      <w:r>
        <w:rPr>
          <w:i/>
          <w:iCs/>
          <w:color w:val="666666"/>
          <w:sz w:val="20"/>
          <w:szCs w:val="20"/>
        </w:rPr>
        <w:t xml:space="preserve">Language pair: English / Kiswahili ↔ Ekegusii  |  Model: facebook/nllb-200-distilled-600M</w:t>
      </w:r>
    </w:p>
    <w:p>
      <w:pPr>
        <w:pStyle w:val="Heading1"/>
        <w:spacing w:after="160" w:before="320"/>
      </w:pPr>
      <w:r>
        <w:t xml:space="preserve">1. Introduction</w:t>
      </w:r>
    </w:p>
    <w:p>
      <w:pPr>
        <w:spacing w:after="160" w:line="276"/>
      </w:pPr>
      <w:r>
        <w:t xml:space="preserve">Ekegusii (ISO 639-3: guz) is a Bantu language spoken primarily in Kisii and Nyamira counties in Kenya. It is not among the 200 languages supported by Meta's No Language Left Behind (NLLB-200) model family, which means no off-the-shelf machine translation system exists for it. This project addresses that gap by adapting a pretrained NLLB-200 model to translate Public Service Announcement (PSA) text between English, Kiswahili, and Ekegusii.</w:t>
      </w:r>
    </w:p>
    <w:p>
      <w:pPr>
        <w:spacing w:after="160" w:line="276"/>
      </w:pPr>
      <w:r>
        <w:t xml:space="preserve">This notebook is one language-pair track within a larger multilingual PSA translation project, in which each team member is responsible for fine-tuning NLLB for a different low-resource language pair. This report documents the English/Kiswahili ↔ Ekegusii track specifically: the dataset used, the adaptation and training methodology, the evaluation results across two experimental iterations (a baseline model and an improved, oversampled model), and the resulting limitations and conclusions.</w:t>
      </w:r>
    </w:p>
    <w:p>
      <w:pPr>
        <w:pStyle w:val="Heading2"/>
        <w:spacing w:after="120" w:before="260"/>
      </w:pPr>
      <w:r>
        <w:t xml:space="preserve">1.1 Objective</w:t>
      </w:r>
    </w:p>
    <w:p>
      <w:pPr>
        <w:spacing w:after="160" w:line="276"/>
      </w:pPr>
      <w:r>
        <w:t xml:space="preserve">Fine-tune facebook/nllb-200-distilled-600M so that a single model can translate PSA messages in four directions:</w:t>
      </w:r>
    </w:p>
    <w:p>
      <w:pPr>
        <w:pStyle w:val="ListParagraph"/>
        <w:numPr>
          <w:ilvl w:val="0"/>
          <w:numId w:val="2"/>
        </w:numPr>
        <w:spacing w:after="80"/>
      </w:pPr>
      <w:r>
        <w:t xml:space="preserve">English → Ekegusii</w:t>
      </w:r>
    </w:p>
    <w:p>
      <w:pPr>
        <w:pStyle w:val="ListParagraph"/>
        <w:numPr>
          <w:ilvl w:val="0"/>
          <w:numId w:val="2"/>
        </w:numPr>
        <w:spacing w:after="80"/>
      </w:pPr>
      <w:r>
        <w:t xml:space="preserve">Ekegusii → English</w:t>
      </w:r>
    </w:p>
    <w:p>
      <w:pPr>
        <w:pStyle w:val="ListParagraph"/>
        <w:numPr>
          <w:ilvl w:val="0"/>
          <w:numId w:val="2"/>
        </w:numPr>
        <w:spacing w:after="80"/>
      </w:pPr>
      <w:r>
        <w:t xml:space="preserve">Kiswahili → Ekegusii</w:t>
      </w:r>
    </w:p>
    <w:p>
      <w:pPr>
        <w:pStyle w:val="ListParagraph"/>
        <w:numPr>
          <w:ilvl w:val="0"/>
          <w:numId w:val="2"/>
        </w:numPr>
        <w:spacing w:after="80"/>
      </w:pPr>
      <w:r>
        <w:t xml:space="preserve">Ekegusii → Kiswahili</w:t>
      </w:r>
    </w:p>
    <w:p>
      <w:pPr>
        <w:spacing w:after="160" w:line="276"/>
      </w:pPr>
      <w:r>
        <w:t xml:space="preserve">Kiswahili was included as a transfer-learning aid: it is already supported by NLLB-200 and, as a fellow Bantu language, was expected to provide the model with linguistically related structure to draw on while learning Ekegusii.</w:t>
      </w:r>
    </w:p>
    <w:p>
      <w:pPr>
        <w:pStyle w:val="Heading1"/>
        <w:spacing w:after="160" w:before="320"/>
      </w:pPr>
      <w:r>
        <w:t xml:space="preserve">2. Dataset</w:t>
      </w:r>
    </w:p>
    <w:p>
      <w:pPr>
        <w:spacing w:after="160" w:line="276"/>
      </w:pPr>
      <w:r>
        <w:t xml:space="preserve">The source data (ekegusii_dataset_final.csv) is a trilingual, sentence-aligned corpus of 5,126 Public Service Announcement messages, each provided in English, Kiswahili, and Ekegusii, together with a topical domain label (e.g. Education, Health).</w:t>
      </w:r>
    </w:p>
    <w:p>
      <w:pPr>
        <w:pStyle w:val="Heading2"/>
        <w:spacing w:after="120" w:before="260"/>
      </w:pPr>
      <w:r>
        <w:t xml:space="preserve">2.1 Bidirectional Expansion</w:t>
      </w:r>
    </w:p>
    <w:p>
      <w:pPr>
        <w:spacing w:after="160" w:line="276"/>
      </w:pPr>
      <w:r>
        <w:t xml:space="preserve">Because a single NLLB checkpoint was to serve four translation directions rather than one, the 5,126 aligned triples were expanded into four direction-labelled sets and concatenated: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2F5496" w:val="clear"/>
            <w:tcMar>
              <w:top w:type="dxa" w:w="80"/>
              <w:left w:type="dxa" w:w="100"/>
              <w:bottom w:type="dxa" w:w="80"/>
              <w:right w:type="dxa" w:w="100"/>
            </w:tcMar>
          </w:tcPr>
          <w:p>
            <w:pPr>
              <w:jc w:val="left"/>
            </w:pPr>
            <w:r>
              <w:rPr>
                <w:b/>
                <w:bCs/>
                <w:color w:val="FFFFFF"/>
                <w:sz w:val="20"/>
                <w:szCs w:val="20"/>
              </w:rPr>
              <w:t xml:space="preserve">Translation direction</w:t>
            </w:r>
          </w:p>
        </w:tc>
        <w:tc>
          <w:tcPr>
            <w:tcW w:type="dxa" w:w="3000"/>
            <w:shd w:fill="2F5496" w:val="clear"/>
            <w:tcMar>
              <w:top w:type="dxa" w:w="80"/>
              <w:left w:type="dxa" w:w="100"/>
              <w:bottom w:type="dxa" w:w="80"/>
              <w:right w:type="dxa" w:w="100"/>
            </w:tcMar>
          </w:tcPr>
          <w:p>
            <w:pPr>
              <w:jc w:val="center"/>
            </w:pPr>
            <w:r>
              <w:rPr>
                <w:b/>
                <w:bCs/>
                <w:color w:val="FFFFFF"/>
                <w:sz w:val="20"/>
                <w:szCs w:val="20"/>
              </w:rPr>
              <w:t xml:space="preserve">Examples</w:t>
            </w:r>
          </w:p>
        </w:tc>
      </w:tr>
      <w:tr>
        <w:tc>
          <w:tcPr>
            <w:tcW w:type="dxa" w:w="6360"/>
            <w:tcMar>
              <w:top w:type="dxa" w:w="80"/>
              <w:left w:type="dxa" w:w="100"/>
              <w:bottom w:type="dxa" w:w="80"/>
              <w:right w:type="dxa" w:w="100"/>
            </w:tcMar>
          </w:tcPr>
          <w:p>
            <w:pPr>
              <w:jc w:val="left"/>
            </w:pPr>
            <w:r>
              <w:rPr>
                <w:b w:val="false"/>
                <w:bCs w:val="false"/>
                <w:color w:val="000000"/>
                <w:sz w:val="20"/>
                <w:szCs w:val="20"/>
              </w:rPr>
              <w:t xml:space="preserve">English → Ekegusii</w:t>
            </w:r>
          </w:p>
        </w:tc>
        <w:tc>
          <w:tcPr>
            <w:tcW w:type="dxa" w:w="3000"/>
            <w:tcMar>
              <w:top w:type="dxa" w:w="80"/>
              <w:left w:type="dxa" w:w="100"/>
              <w:bottom w:type="dxa" w:w="80"/>
              <w:right w:type="dxa" w:w="100"/>
            </w:tcMar>
          </w:tcPr>
          <w:p>
            <w:pPr>
              <w:jc w:val="center"/>
            </w:pPr>
            <w:r>
              <w:rPr>
                <w:b w:val="false"/>
                <w:bCs w:val="false"/>
                <w:color w:val="000000"/>
                <w:sz w:val="20"/>
                <w:szCs w:val="20"/>
              </w:rPr>
              <w:t xml:space="preserve">5,126</w:t>
            </w:r>
          </w:p>
        </w:tc>
      </w:tr>
      <w:tr>
        <w:tc>
          <w:tcPr>
            <w:tcW w:type="dxa" w:w="6360"/>
            <w:shd w:fill="F2F2F2" w:val="clear"/>
            <w:tcMar>
              <w:top w:type="dxa" w:w="80"/>
              <w:left w:type="dxa" w:w="100"/>
              <w:bottom w:type="dxa" w:w="80"/>
              <w:right w:type="dxa" w:w="100"/>
            </w:tcMar>
          </w:tcPr>
          <w:p>
            <w:pPr>
              <w:jc w:val="left"/>
            </w:pPr>
            <w:r>
              <w:rPr>
                <w:b w:val="false"/>
                <w:bCs w:val="false"/>
                <w:color w:val="000000"/>
                <w:sz w:val="20"/>
                <w:szCs w:val="20"/>
              </w:rPr>
              <w:t xml:space="preserve">Ekegusii → English</w:t>
            </w:r>
          </w:p>
        </w:tc>
        <w:tc>
          <w:tcPr>
            <w:tcW w:type="dxa" w:w="3000"/>
            <w:shd w:fill="F2F2F2" w:val="clear"/>
            <w:tcMar>
              <w:top w:type="dxa" w:w="80"/>
              <w:left w:type="dxa" w:w="100"/>
              <w:bottom w:type="dxa" w:w="80"/>
              <w:right w:type="dxa" w:w="100"/>
            </w:tcMar>
          </w:tcPr>
          <w:p>
            <w:pPr>
              <w:jc w:val="center"/>
            </w:pPr>
            <w:r>
              <w:rPr>
                <w:b w:val="false"/>
                <w:bCs w:val="false"/>
                <w:color w:val="000000"/>
                <w:sz w:val="20"/>
                <w:szCs w:val="20"/>
              </w:rPr>
              <w:t xml:space="preserve">5,126</w:t>
            </w:r>
          </w:p>
        </w:tc>
      </w:tr>
      <w:tr>
        <w:tc>
          <w:tcPr>
            <w:tcW w:type="dxa" w:w="6360"/>
            <w:tcMar>
              <w:top w:type="dxa" w:w="80"/>
              <w:left w:type="dxa" w:w="100"/>
              <w:bottom w:type="dxa" w:w="80"/>
              <w:right w:type="dxa" w:w="100"/>
            </w:tcMar>
          </w:tcPr>
          <w:p>
            <w:pPr>
              <w:jc w:val="left"/>
            </w:pPr>
            <w:r>
              <w:rPr>
                <w:b w:val="false"/>
                <w:bCs w:val="false"/>
                <w:color w:val="000000"/>
                <w:sz w:val="20"/>
                <w:szCs w:val="20"/>
              </w:rPr>
              <w:t xml:space="preserve">Kiswahili → Ekegusii</w:t>
            </w:r>
          </w:p>
        </w:tc>
        <w:tc>
          <w:tcPr>
            <w:tcW w:type="dxa" w:w="3000"/>
            <w:tcMar>
              <w:top w:type="dxa" w:w="80"/>
              <w:left w:type="dxa" w:w="100"/>
              <w:bottom w:type="dxa" w:w="80"/>
              <w:right w:type="dxa" w:w="100"/>
            </w:tcMar>
          </w:tcPr>
          <w:p>
            <w:pPr>
              <w:jc w:val="center"/>
            </w:pPr>
            <w:r>
              <w:rPr>
                <w:b w:val="false"/>
                <w:bCs w:val="false"/>
                <w:color w:val="000000"/>
                <w:sz w:val="20"/>
                <w:szCs w:val="20"/>
              </w:rPr>
              <w:t xml:space="preserve">5,126</w:t>
            </w:r>
          </w:p>
        </w:tc>
      </w:tr>
      <w:tr>
        <w:tc>
          <w:tcPr>
            <w:tcW w:type="dxa" w:w="6360"/>
            <w:shd w:fill="F2F2F2" w:val="clear"/>
            <w:tcMar>
              <w:top w:type="dxa" w:w="80"/>
              <w:left w:type="dxa" w:w="100"/>
              <w:bottom w:type="dxa" w:w="80"/>
              <w:right w:type="dxa" w:w="100"/>
            </w:tcMar>
          </w:tcPr>
          <w:p>
            <w:pPr>
              <w:jc w:val="left"/>
            </w:pPr>
            <w:r>
              <w:rPr>
                <w:b w:val="false"/>
                <w:bCs w:val="false"/>
                <w:color w:val="000000"/>
                <w:sz w:val="20"/>
                <w:szCs w:val="20"/>
              </w:rPr>
              <w:t xml:space="preserve">Ekegusii → Kiswahili</w:t>
            </w:r>
          </w:p>
        </w:tc>
        <w:tc>
          <w:tcPr>
            <w:tcW w:type="dxa" w:w="3000"/>
            <w:shd w:fill="F2F2F2" w:val="clear"/>
            <w:tcMar>
              <w:top w:type="dxa" w:w="80"/>
              <w:left w:type="dxa" w:w="100"/>
              <w:bottom w:type="dxa" w:w="80"/>
              <w:right w:type="dxa" w:w="100"/>
            </w:tcMar>
          </w:tcPr>
          <w:p>
            <w:pPr>
              <w:jc w:val="center"/>
            </w:pPr>
            <w:r>
              <w:rPr>
                <w:b w:val="false"/>
                <w:bCs w:val="false"/>
                <w:color w:val="000000"/>
                <w:sz w:val="20"/>
                <w:szCs w:val="20"/>
              </w:rPr>
              <w:t xml:space="preserve">5,126</w:t>
            </w:r>
          </w:p>
        </w:tc>
      </w:tr>
      <w:tr>
        <w:tc>
          <w:tcPr>
            <w:tcW w:type="dxa" w:w="6360"/>
            <w:tcMar>
              <w:top w:type="dxa" w:w="80"/>
              <w:left w:type="dxa" w:w="100"/>
              <w:bottom w:type="dxa" w:w="80"/>
              <w:right w:type="dxa" w:w="100"/>
            </w:tcMar>
          </w:tcPr>
          <w:p>
            <w:pPr>
              <w:jc w:val="left"/>
            </w:pPr>
            <w:r>
              <w:rPr>
                <w:b w:val="false"/>
                <w:bCs w:val="false"/>
                <w:color w:val="000000"/>
                <w:sz w:val="20"/>
                <w:szCs w:val="20"/>
              </w:rPr>
              <w:t xml:space="preserve">Total (expanded)</w:t>
            </w:r>
          </w:p>
        </w:tc>
        <w:tc>
          <w:tcPr>
            <w:tcW w:type="dxa" w:w="3000"/>
            <w:tcMar>
              <w:top w:type="dxa" w:w="80"/>
              <w:left w:type="dxa" w:w="100"/>
              <w:bottom w:type="dxa" w:w="80"/>
              <w:right w:type="dxa" w:w="100"/>
            </w:tcMar>
          </w:tcPr>
          <w:p>
            <w:pPr>
              <w:jc w:val="center"/>
            </w:pPr>
            <w:r>
              <w:rPr>
                <w:b w:val="false"/>
                <w:bCs w:val="false"/>
                <w:color w:val="000000"/>
                <w:sz w:val="20"/>
                <w:szCs w:val="20"/>
              </w:rPr>
              <w:t xml:space="preserve">20,504</w:t>
            </w:r>
          </w:p>
        </w:tc>
      </w:tr>
    </w:tbl>
    <w:p>
      <w:pPr>
        <w:spacing w:after="220" w:before="60"/>
      </w:pPr>
      <w:r>
        <w:rPr>
          <w:i/>
          <w:iCs/>
          <w:color w:val="555555"/>
          <w:sz w:val="20"/>
          <w:szCs w:val="20"/>
        </w:rPr>
        <w:t xml:space="preserve">Table 1. Size of the expanded, direction-labelled dataset before deduplication.</w:t>
      </w:r>
    </w:p>
    <w:p>
      <w:pPr>
        <w:pStyle w:val="Heading2"/>
        <w:spacing w:after="120" w:before="260"/>
      </w:pPr>
      <w:r>
        <w:t xml:space="preserve">2.2 Cleaning</w:t>
      </w:r>
    </w:p>
    <w:p>
      <w:pPr>
        <w:spacing w:after="160" w:line="276"/>
      </w:pPr>
      <w:r>
        <w:t xml:space="preserve">A quality pass checked for missing values, empty strings, and duplicate source–target pairs. No missing or empty entries were found. 269 exact duplicate sentence pairs were identified and removed, leaving 20,235 examples.</w:t>
      </w:r>
    </w:p>
    <w:p>
      <w:pPr>
        <w:pStyle w:val="Heading2"/>
        <w:spacing w:after="120" w:before="260"/>
      </w:pPr>
      <w:r>
        <w:t xml:space="preserve">2.3 Train / Validation / Test Split</w:t>
      </w:r>
    </w:p>
    <w:p>
      <w:pPr>
        <w:spacing w:after="160" w:line="276"/>
      </w:pPr>
      <w:r>
        <w:t xml:space="preserve">The cleaned, expanded dataset was split 80% / 10% / 10% into training, validation, and test sets using a fixed random seed (random_state = 42), producing: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2F5496" w:val="clear"/>
            <w:tcMar>
              <w:top w:type="dxa" w:w="80"/>
              <w:left w:type="dxa" w:w="100"/>
              <w:bottom w:type="dxa" w:w="80"/>
              <w:right w:type="dxa" w:w="100"/>
            </w:tcMar>
          </w:tcPr>
          <w:p>
            <w:pPr>
              <w:jc w:val="left"/>
            </w:pPr>
            <w:r>
              <w:rPr>
                <w:b/>
                <w:bCs/>
                <w:color w:val="FFFFFF"/>
                <w:sz w:val="20"/>
                <w:szCs w:val="20"/>
              </w:rPr>
              <w:t xml:space="preserve">Split</w:t>
            </w:r>
          </w:p>
        </w:tc>
        <w:tc>
          <w:tcPr>
            <w:tcW w:type="dxa" w:w="3000"/>
            <w:shd w:fill="2F5496" w:val="clear"/>
            <w:tcMar>
              <w:top w:type="dxa" w:w="80"/>
              <w:left w:type="dxa" w:w="100"/>
              <w:bottom w:type="dxa" w:w="80"/>
              <w:right w:type="dxa" w:w="100"/>
            </w:tcMar>
          </w:tcPr>
          <w:p>
            <w:pPr>
              <w:jc w:val="center"/>
            </w:pPr>
            <w:r>
              <w:rPr>
                <w:b/>
                <w:bCs/>
                <w:color w:val="FFFFFF"/>
                <w:sz w:val="20"/>
                <w:szCs w:val="20"/>
              </w:rPr>
              <w:t xml:space="preserve">Examples</w:t>
            </w:r>
          </w:p>
        </w:tc>
      </w:tr>
      <w:tr>
        <w:tc>
          <w:tcPr>
            <w:tcW w:type="dxa" w:w="6360"/>
            <w:tcMar>
              <w:top w:type="dxa" w:w="80"/>
              <w:left w:type="dxa" w:w="100"/>
              <w:bottom w:type="dxa" w:w="80"/>
              <w:right w:type="dxa" w:w="100"/>
            </w:tcMar>
          </w:tcPr>
          <w:p>
            <w:pPr>
              <w:jc w:val="left"/>
            </w:pPr>
            <w:r>
              <w:rPr>
                <w:b w:val="false"/>
                <w:bCs w:val="false"/>
                <w:color w:val="000000"/>
                <w:sz w:val="20"/>
                <w:szCs w:val="20"/>
              </w:rPr>
              <w:t xml:space="preserve">Training</w:t>
            </w:r>
          </w:p>
        </w:tc>
        <w:tc>
          <w:tcPr>
            <w:tcW w:type="dxa" w:w="3000"/>
            <w:tcMar>
              <w:top w:type="dxa" w:w="80"/>
              <w:left w:type="dxa" w:w="100"/>
              <w:bottom w:type="dxa" w:w="80"/>
              <w:right w:type="dxa" w:w="100"/>
            </w:tcMar>
          </w:tcPr>
          <w:p>
            <w:pPr>
              <w:jc w:val="center"/>
            </w:pPr>
            <w:r>
              <w:rPr>
                <w:b w:val="false"/>
                <w:bCs w:val="false"/>
                <w:color w:val="000000"/>
                <w:sz w:val="20"/>
                <w:szCs w:val="20"/>
              </w:rPr>
              <w:t xml:space="preserve">16,188</w:t>
            </w:r>
          </w:p>
        </w:tc>
      </w:tr>
      <w:tr>
        <w:tc>
          <w:tcPr>
            <w:tcW w:type="dxa" w:w="6360"/>
            <w:shd w:fill="F2F2F2" w:val="clear"/>
            <w:tcMar>
              <w:top w:type="dxa" w:w="80"/>
              <w:left w:type="dxa" w:w="100"/>
              <w:bottom w:type="dxa" w:w="80"/>
              <w:right w:type="dxa" w:w="100"/>
            </w:tcMar>
          </w:tcPr>
          <w:p>
            <w:pPr>
              <w:jc w:val="left"/>
            </w:pPr>
            <w:r>
              <w:rPr>
                <w:b w:val="false"/>
                <w:bCs w:val="false"/>
                <w:color w:val="000000"/>
                <w:sz w:val="20"/>
                <w:szCs w:val="20"/>
              </w:rPr>
              <w:t xml:space="preserve">Validation</w:t>
            </w:r>
          </w:p>
        </w:tc>
        <w:tc>
          <w:tcPr>
            <w:tcW w:type="dxa" w:w="3000"/>
            <w:shd w:fill="F2F2F2" w:val="clear"/>
            <w:tcMar>
              <w:top w:type="dxa" w:w="80"/>
              <w:left w:type="dxa" w:w="100"/>
              <w:bottom w:type="dxa" w:w="80"/>
              <w:right w:type="dxa" w:w="100"/>
            </w:tcMar>
          </w:tcPr>
          <w:p>
            <w:pPr>
              <w:jc w:val="center"/>
            </w:pPr>
            <w:r>
              <w:rPr>
                <w:b w:val="false"/>
                <w:bCs w:val="false"/>
                <w:color w:val="000000"/>
                <w:sz w:val="20"/>
                <w:szCs w:val="20"/>
              </w:rPr>
              <w:t xml:space="preserve">2,023</w:t>
            </w:r>
          </w:p>
        </w:tc>
      </w:tr>
      <w:tr>
        <w:tc>
          <w:tcPr>
            <w:tcW w:type="dxa" w:w="6360"/>
            <w:tcMar>
              <w:top w:type="dxa" w:w="80"/>
              <w:left w:type="dxa" w:w="100"/>
              <w:bottom w:type="dxa" w:w="80"/>
              <w:right w:type="dxa" w:w="100"/>
            </w:tcMar>
          </w:tcPr>
          <w:p>
            <w:pPr>
              <w:jc w:val="left"/>
            </w:pPr>
            <w:r>
              <w:rPr>
                <w:b w:val="false"/>
                <w:bCs w:val="false"/>
                <w:color w:val="000000"/>
                <w:sz w:val="20"/>
                <w:szCs w:val="20"/>
              </w:rPr>
              <w:t xml:space="preserve">Test</w:t>
            </w:r>
          </w:p>
        </w:tc>
        <w:tc>
          <w:tcPr>
            <w:tcW w:type="dxa" w:w="3000"/>
            <w:tcMar>
              <w:top w:type="dxa" w:w="80"/>
              <w:left w:type="dxa" w:w="100"/>
              <w:bottom w:type="dxa" w:w="80"/>
              <w:right w:type="dxa" w:w="100"/>
            </w:tcMar>
          </w:tcPr>
          <w:p>
            <w:pPr>
              <w:jc w:val="center"/>
            </w:pPr>
            <w:r>
              <w:rPr>
                <w:b w:val="false"/>
                <w:bCs w:val="false"/>
                <w:color w:val="000000"/>
                <w:sz w:val="20"/>
                <w:szCs w:val="20"/>
              </w:rPr>
              <w:t xml:space="preserve">2,024</w:t>
            </w:r>
          </w:p>
        </w:tc>
      </w:tr>
    </w:tbl>
    <w:p>
      <w:pPr>
        <w:spacing w:after="220" w:before="60"/>
      </w:pPr>
      <w:r>
        <w:rPr>
          <w:i/>
          <w:iCs/>
          <w:color w:val="555555"/>
          <w:sz w:val="20"/>
          <w:szCs w:val="20"/>
        </w:rPr>
        <w:t xml:space="preserve">Table 2. Train / validation / test split sizes.</w:t>
      </w:r>
    </w:p>
    <w:p>
      <w:pPr>
        <w:spacing w:after="160" w:line="276"/>
      </w:pPr>
      <w:r>
        <w:t xml:space="preserve">Direction distribution was checked after splitting and found to be approximately balanced across all three sets (roughly 490–520 examples per direction in validation and test), so no split rebalancing was required at this stage.</w:t>
      </w:r>
    </w:p>
    <w:p>
      <w:pPr>
        <w:pStyle w:val="Heading1"/>
        <w:spacing w:after="160" w:before="320"/>
      </w:pPr>
      <w:r>
        <w:t xml:space="preserve">3. Methodology</w:t>
      </w:r>
    </w:p>
    <w:p>
      <w:pPr>
        <w:pStyle w:val="Heading2"/>
        <w:spacing w:after="120" w:before="260"/>
      </w:pPr>
      <w:r>
        <w:t xml:space="preserve">3.1 Adapting NLLB for an Unsupported Language</w:t>
      </w:r>
    </w:p>
    <w:p>
      <w:pPr>
        <w:spacing w:after="160" w:line="276"/>
      </w:pPr>
      <w:r>
        <w:t xml:space="preserve">Ekegusii has no code in the original NLLB-200 vocabulary. To make the model aware of Ekegusii as a distinct language, a new language identifier, guz_Latn, was registered as a special token in the tokenizer, and the model's input/output embedding matrices were resized to accommodate it. The newly added embedding row starts untrained and is expected to acquire meaning for Ekegusii purely through fine-tuning on the parallel data — the model has no prior exposure to the language from pretraining.</w:t>
      </w:r>
    </w:p>
    <w:p>
      <w:pPr>
        <w:spacing w:after="160" w:line="276"/>
      </w:pPr>
      <w:r>
        <w:t xml:space="preserve">A tokenization comparison across English, Kiswahili, and Ekegusii sample sentences confirmed that, unlike English and Kiswahili, Ekegusii text is broken into a larger number of generic multilingual subword pieces rather than language-specific tokens — direct evidence of the low-resource adaptation challenge the model faces.</w:t>
      </w:r>
    </w:p>
    <w:p>
      <w:pPr>
        <w:pStyle w:val="Heading2"/>
        <w:spacing w:after="120" w:before="260"/>
      </w:pPr>
      <w:r>
        <w:t xml:space="preserve">3.2 Training Configuration — Baseline Run</w:t>
      </w:r>
    </w:p>
    <w:p>
      <w:pPr>
        <w:spacing w:after="160" w:line="276"/>
      </w:pPr>
      <w:r>
        <w:t xml:space="preserve">The baseline model was fine-tuned directly from facebook/nllb-200-distilled-600M using the Hugging Face Seq2SeqTrainer, with the following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2F5496" w:val="clear"/>
            <w:tcMar>
              <w:top w:type="dxa" w:w="80"/>
              <w:left w:type="dxa" w:w="100"/>
              <w:bottom w:type="dxa" w:w="80"/>
              <w:right w:type="dxa" w:w="100"/>
            </w:tcMar>
          </w:tcPr>
          <w:p>
            <w:pPr>
              <w:jc w:val="left"/>
            </w:pPr>
            <w:r>
              <w:rPr>
                <w:b/>
                <w:bCs/>
                <w:color w:val="FFFFFF"/>
                <w:sz w:val="20"/>
                <w:szCs w:val="20"/>
              </w:rPr>
              <w:t xml:space="preserve">Setting</w:t>
            </w:r>
          </w:p>
        </w:tc>
        <w:tc>
          <w:tcPr>
            <w:tcW w:type="dxa" w:w="4360"/>
            <w:shd w:fill="2F5496" w:val="clear"/>
            <w:tcMar>
              <w:top w:type="dxa" w:w="80"/>
              <w:left w:type="dxa" w:w="100"/>
              <w:bottom w:type="dxa" w:w="80"/>
              <w:right w:type="dxa" w:w="100"/>
            </w:tcMar>
          </w:tcPr>
          <w:p>
            <w:pPr>
              <w:jc w:val="center"/>
            </w:pPr>
            <w:r>
              <w:rPr>
                <w:b/>
                <w:bCs/>
                <w:color w:val="FFFFFF"/>
                <w:sz w:val="20"/>
                <w:szCs w:val="20"/>
              </w:rPr>
              <w:t xml:space="preserve">Value</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Base model</w:t>
            </w:r>
          </w:p>
        </w:tc>
        <w:tc>
          <w:tcPr>
            <w:tcW w:type="dxa" w:w="4360"/>
            <w:tcMar>
              <w:top w:type="dxa" w:w="80"/>
              <w:left w:type="dxa" w:w="100"/>
              <w:bottom w:type="dxa" w:w="80"/>
              <w:right w:type="dxa" w:w="100"/>
            </w:tcMar>
          </w:tcPr>
          <w:p>
            <w:pPr>
              <w:jc w:val="center"/>
            </w:pPr>
            <w:r>
              <w:rPr>
                <w:b w:val="false"/>
                <w:bCs w:val="false"/>
                <w:color w:val="000000"/>
                <w:sz w:val="20"/>
                <w:szCs w:val="20"/>
              </w:rPr>
              <w:t xml:space="preserve">facebook/nllb-200-distilled-600M</w:t>
            </w:r>
          </w:p>
        </w:tc>
      </w:tr>
      <w:tr>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Training data</w:t>
            </w:r>
          </w:p>
        </w:tc>
        <w:tc>
          <w:tcPr>
            <w:tcW w:type="dxa" w:w="4360"/>
            <w:shd w:fill="F2F2F2" w:val="clear"/>
            <w:tcMar>
              <w:top w:type="dxa" w:w="80"/>
              <w:left w:type="dxa" w:w="100"/>
              <w:bottom w:type="dxa" w:w="80"/>
              <w:right w:type="dxa" w:w="100"/>
            </w:tcMar>
          </w:tcPr>
          <w:p>
            <w:pPr>
              <w:jc w:val="center"/>
            </w:pPr>
            <w:r>
              <w:rPr>
                <w:b w:val="false"/>
                <w:bCs w:val="false"/>
                <w:color w:val="000000"/>
                <w:sz w:val="20"/>
                <w:szCs w:val="20"/>
              </w:rPr>
              <w:t xml:space="preserve">16,188 examples (4 balanced directions)</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Epochs</w:t>
            </w:r>
          </w:p>
        </w:tc>
        <w:tc>
          <w:tcPr>
            <w:tcW w:type="dxa" w:w="4360"/>
            <w:tcMar>
              <w:top w:type="dxa" w:w="80"/>
              <w:left w:type="dxa" w:w="100"/>
              <w:bottom w:type="dxa" w:w="80"/>
              <w:right w:type="dxa" w:w="100"/>
            </w:tcMar>
          </w:tcPr>
          <w:p>
            <w:pPr>
              <w:jc w:val="center"/>
            </w:pPr>
            <w:r>
              <w:rPr>
                <w:b w:val="false"/>
                <w:bCs w:val="false"/>
                <w:color w:val="000000"/>
                <w:sz w:val="20"/>
                <w:szCs w:val="20"/>
              </w:rPr>
              <w:t xml:space="preserve">3</w:t>
            </w:r>
          </w:p>
        </w:tc>
      </w:tr>
      <w:tr>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Learning rate</w:t>
            </w:r>
          </w:p>
        </w:tc>
        <w:tc>
          <w:tcPr>
            <w:tcW w:type="dxa" w:w="4360"/>
            <w:shd w:fill="F2F2F2" w:val="clear"/>
            <w:tcMar>
              <w:top w:type="dxa" w:w="80"/>
              <w:left w:type="dxa" w:w="100"/>
              <w:bottom w:type="dxa" w:w="80"/>
              <w:right w:type="dxa" w:w="100"/>
            </w:tcMar>
          </w:tcPr>
          <w:p>
            <w:pPr>
              <w:jc w:val="center"/>
            </w:pPr>
            <w:r>
              <w:rPr>
                <w:b w:val="false"/>
                <w:bCs w:val="false"/>
                <w:color w:val="000000"/>
                <w:sz w:val="20"/>
                <w:szCs w:val="20"/>
              </w:rPr>
              <w:t xml:space="preserve">2e-5</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Batch size (train / eval)</w:t>
            </w:r>
          </w:p>
        </w:tc>
        <w:tc>
          <w:tcPr>
            <w:tcW w:type="dxa" w:w="4360"/>
            <w:tcMar>
              <w:top w:type="dxa" w:w="80"/>
              <w:left w:type="dxa" w:w="100"/>
              <w:bottom w:type="dxa" w:w="80"/>
              <w:right w:type="dxa" w:w="100"/>
            </w:tcMar>
          </w:tcPr>
          <w:p>
            <w:pPr>
              <w:jc w:val="center"/>
            </w:pPr>
            <w:r>
              <w:rPr>
                <w:b w:val="false"/>
                <w:bCs w:val="false"/>
                <w:color w:val="000000"/>
                <w:sz w:val="20"/>
                <w:szCs w:val="20"/>
              </w:rPr>
              <w:t xml:space="preserve">4 / 4</w:t>
            </w:r>
          </w:p>
        </w:tc>
      </w:tr>
      <w:tr>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Gradient accumulation steps</w:t>
            </w:r>
          </w:p>
        </w:tc>
        <w:tc>
          <w:tcPr>
            <w:tcW w:type="dxa" w:w="4360"/>
            <w:shd w:fill="F2F2F2" w:val="clear"/>
            <w:tcMar>
              <w:top w:type="dxa" w:w="80"/>
              <w:left w:type="dxa" w:w="100"/>
              <w:bottom w:type="dxa" w:w="80"/>
              <w:right w:type="dxa" w:w="100"/>
            </w:tcMar>
          </w:tcPr>
          <w:p>
            <w:pPr>
              <w:jc w:val="center"/>
            </w:pPr>
            <w:r>
              <w:rPr>
                <w:b w:val="false"/>
                <w:bCs w:val="false"/>
                <w:color w:val="000000"/>
                <w:sz w:val="20"/>
                <w:szCs w:val="20"/>
              </w:rPr>
              <w:t xml:space="preserve">4</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Mixed precision</w:t>
            </w:r>
          </w:p>
        </w:tc>
        <w:tc>
          <w:tcPr>
            <w:tcW w:type="dxa" w:w="4360"/>
            <w:tcMar>
              <w:top w:type="dxa" w:w="80"/>
              <w:left w:type="dxa" w:w="100"/>
              <w:bottom w:type="dxa" w:w="80"/>
              <w:right w:type="dxa" w:w="100"/>
            </w:tcMar>
          </w:tcPr>
          <w:p>
            <w:pPr>
              <w:jc w:val="center"/>
            </w:pPr>
            <w:r>
              <w:rPr>
                <w:b w:val="false"/>
                <w:bCs w:val="false"/>
                <w:color w:val="000000"/>
                <w:sz w:val="20"/>
                <w:szCs w:val="20"/>
              </w:rPr>
              <w:t xml:space="preserve">fp16</w:t>
            </w:r>
          </w:p>
        </w:tc>
      </w:tr>
      <w:tr>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Evaluation / save strategy</w:t>
            </w:r>
          </w:p>
        </w:tc>
        <w:tc>
          <w:tcPr>
            <w:tcW w:type="dxa" w:w="4360"/>
            <w:shd w:fill="F2F2F2" w:val="clear"/>
            <w:tcMar>
              <w:top w:type="dxa" w:w="80"/>
              <w:left w:type="dxa" w:w="100"/>
              <w:bottom w:type="dxa" w:w="80"/>
              <w:right w:type="dxa" w:w="100"/>
            </w:tcMar>
          </w:tcPr>
          <w:p>
            <w:pPr>
              <w:jc w:val="center"/>
            </w:pPr>
            <w:r>
              <w:rPr>
                <w:b w:val="false"/>
                <w:bCs w:val="false"/>
                <w:color w:val="000000"/>
                <w:sz w:val="20"/>
                <w:szCs w:val="20"/>
              </w:rPr>
              <w:t xml:space="preserve">per epoch</w:t>
            </w:r>
          </w:p>
        </w:tc>
      </w:tr>
      <w:tr>
        <w:tc>
          <w:tcPr>
            <w:tcW w:type="dxa" w:w="5000"/>
            <w:tcMar>
              <w:top w:type="dxa" w:w="80"/>
              <w:left w:type="dxa" w:w="100"/>
              <w:bottom w:type="dxa" w:w="80"/>
              <w:right w:type="dxa" w:w="100"/>
            </w:tcMar>
          </w:tcPr>
          <w:p>
            <w:pPr>
              <w:jc w:val="left"/>
            </w:pPr>
            <w:r>
              <w:rPr>
                <w:b w:val="false"/>
                <w:bCs w:val="false"/>
                <w:color w:val="000000"/>
                <w:sz w:val="20"/>
                <w:szCs w:val="20"/>
              </w:rPr>
              <w:t xml:space="preserve">Checkpoints retained</w:t>
            </w:r>
          </w:p>
        </w:tc>
        <w:tc>
          <w:tcPr>
            <w:tcW w:type="dxa" w:w="4360"/>
            <w:tcMar>
              <w:top w:type="dxa" w:w="80"/>
              <w:left w:type="dxa" w:w="100"/>
              <w:bottom w:type="dxa" w:w="80"/>
              <w:right w:type="dxa" w:w="100"/>
            </w:tcMar>
          </w:tcPr>
          <w:p>
            <w:pPr>
              <w:jc w:val="center"/>
            </w:pPr>
            <w:r>
              <w:rPr>
                <w:b w:val="false"/>
                <w:bCs w:val="false"/>
                <w:color w:val="000000"/>
                <w:sz w:val="20"/>
                <w:szCs w:val="20"/>
              </w:rPr>
              <w:t xml:space="preserve">2 (best kept)</w:t>
            </w:r>
          </w:p>
        </w:tc>
      </w:tr>
      <w:tr>
        <w:tc>
          <w:tcPr>
            <w:tcW w:type="dxa" w:w="5000"/>
            <w:shd w:fill="F2F2F2" w:val="clear"/>
            <w:tcMar>
              <w:top w:type="dxa" w:w="80"/>
              <w:left w:type="dxa" w:w="100"/>
              <w:bottom w:type="dxa" w:w="80"/>
              <w:right w:type="dxa" w:w="100"/>
            </w:tcMar>
          </w:tcPr>
          <w:p>
            <w:pPr>
              <w:jc w:val="left"/>
            </w:pPr>
            <w:r>
              <w:rPr>
                <w:b w:val="false"/>
                <w:bCs w:val="false"/>
                <w:color w:val="000000"/>
                <w:sz w:val="20"/>
                <w:szCs w:val="20"/>
              </w:rPr>
              <w:t xml:space="preserve">Hardware</w:t>
            </w:r>
          </w:p>
        </w:tc>
        <w:tc>
          <w:tcPr>
            <w:tcW w:type="dxa" w:w="4360"/>
            <w:shd w:fill="F2F2F2" w:val="clear"/>
            <w:tcMar>
              <w:top w:type="dxa" w:w="80"/>
              <w:left w:type="dxa" w:w="100"/>
              <w:bottom w:type="dxa" w:w="80"/>
              <w:right w:type="dxa" w:w="100"/>
            </w:tcMar>
          </w:tcPr>
          <w:p>
            <w:pPr>
              <w:jc w:val="center"/>
            </w:pPr>
            <w:r>
              <w:rPr>
                <w:b w:val="false"/>
                <w:bCs w:val="false"/>
                <w:color w:val="000000"/>
                <w:sz w:val="20"/>
                <w:szCs w:val="20"/>
              </w:rPr>
              <w:t xml:space="preserve">Kaggle GPU (Tesla T4 at outset)</w:t>
            </w:r>
          </w:p>
        </w:tc>
      </w:tr>
    </w:tbl>
    <w:p>
      <w:pPr>
        <w:spacing w:after="220" w:before="60"/>
      </w:pPr>
      <w:r>
        <w:rPr>
          <w:i/>
          <w:iCs/>
          <w:color w:val="555555"/>
          <w:sz w:val="20"/>
          <w:szCs w:val="20"/>
        </w:rPr>
        <w:t xml:space="preserve">Table 3. Baseline fine-tuning hyperparameters.</w:t>
      </w:r>
    </w:p>
    <w:p>
      <w:pPr>
        <w:spacing w:after="160" w:line="276"/>
      </w:pPr>
      <w:r>
        <w:t xml:space="preserve">Checkpoint saving encountered storage issues partway through the run (optimizer-state files failed to save for two intermediate checkpoints), which were cleaned up manually; the final epoch-3 checkpoint (checkpoint-1518) saved successfully and was used as the baseline model going forward.</w:t>
      </w:r>
    </w:p>
    <w:p>
      <w:pPr>
        <w:pStyle w:val="Heading2"/>
        <w:spacing w:after="120" w:before="260"/>
      </w:pPr>
      <w:r>
        <w:t xml:space="preserve">3.3 Evaluation Methodology</w:t>
      </w:r>
    </w:p>
    <w:p>
      <w:pPr>
        <w:spacing w:after="160" w:line="276"/>
      </w:pPr>
      <w:r>
        <w:t xml:space="preserve">Translation quality was measured with two complementary automatic metrics, computed with the evaluate library:</w:t>
      </w:r>
    </w:p>
    <w:p>
      <w:pPr>
        <w:pStyle w:val="ListParagraph"/>
        <w:numPr>
          <w:ilvl w:val="0"/>
          <w:numId w:val="2"/>
        </w:numPr>
        <w:spacing w:after="80"/>
      </w:pPr>
      <w:r>
        <w:t xml:space="preserve">BLEU (via sacrebleu) — n-gram precision overlap between generated and reference translations.</w:t>
      </w:r>
    </w:p>
    <w:p>
      <w:pPr>
        <w:pStyle w:val="ListParagraph"/>
        <w:numPr>
          <w:ilvl w:val="0"/>
          <w:numId w:val="2"/>
        </w:numPr>
        <w:spacing w:after="80"/>
      </w:pPr>
      <w:r>
        <w:t xml:space="preserve">chrF — character n-gram F-score, which is more forgiving of morphological variation and was expected to be especially informative for an agglutinative Bantu language like Ekegusii.</w:t>
      </w:r>
    </w:p>
    <w:p>
      <w:pPr>
        <w:spacing w:after="160" w:line="276"/>
      </w:pPr>
      <w:r>
        <w:t xml:space="preserve">Evaluation was run per direction on the held-out test set, first on a 100-example subset to validate the pipeline, then on the full test set (~500 examples per direction) for the final reported numbers. Generation used beam search (beam size 4–5); in a later refinement, repetition_penalty and no_repeat_ngram_size were added to inference to curb repetition loops observed during manual inspection.</w:t>
      </w:r>
    </w:p>
    <w:p>
      <w:pPr>
        <w:pStyle w:val="Heading2"/>
        <w:spacing w:after="120" w:before="260"/>
      </w:pPr>
      <w:r>
        <w:t xml:space="preserve">3.4 Improvement Experiment: Target-Language Oversampling</w:t>
      </w:r>
    </w:p>
    <w:p>
      <w:pPr>
        <w:spacing w:after="160" w:line="276"/>
      </w:pPr>
      <w:r>
        <w:t xml:space="preserve">Baseline evaluation showed a consistent asymmetry: the model translated out of Ekegusii (into English or Kiswahili) noticeably better than it translated into Ekegusii. This suggested the model had learned to interpret Ekegusii input reasonably well but had not learned to generate fluent Ekegusii output — likely because the new guz_Latn embedding and associated decoder behaviour had comparatively little training signal relative to the well-established English/Kiswahili generation pathways.</w:t>
      </w:r>
    </w:p>
    <w:p>
      <w:pPr>
        <w:spacing w:after="160" w:line="276"/>
      </w:pPr>
      <w:r>
        <w:t xml:space="preserve">To address this, the two directions where Ekegusii is the target (English → Ekegusii and Kiswahili → Ekegusii) were oversampled by duplicating their training examples, while the two directions where Ekegusii is the source were left unchanged. This shifted the training distribution toward Ekegusii generation without introducing any new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2F5496" w:val="clear"/>
            <w:tcMar>
              <w:top w:type="dxa" w:w="80"/>
              <w:left w:type="dxa" w:w="100"/>
              <w:bottom w:type="dxa" w:w="80"/>
              <w:right w:type="dxa" w:w="100"/>
            </w:tcMar>
          </w:tcPr>
          <w:p>
            <w:pPr>
              <w:jc w:val="left"/>
            </w:pPr>
            <w:r>
              <w:rPr>
                <w:b/>
                <w:bCs/>
                <w:color w:val="FFFFFF"/>
                <w:sz w:val="20"/>
                <w:szCs w:val="20"/>
              </w:rPr>
              <w:t xml:space="preserve">Direction</w:t>
            </w:r>
          </w:p>
        </w:tc>
        <w:tc>
          <w:tcPr>
            <w:tcW w:type="dxa" w:w="2580"/>
            <w:shd w:fill="2F5496" w:val="clear"/>
            <w:tcMar>
              <w:top w:type="dxa" w:w="80"/>
              <w:left w:type="dxa" w:w="100"/>
              <w:bottom w:type="dxa" w:w="80"/>
              <w:right w:type="dxa" w:w="100"/>
            </w:tcMar>
          </w:tcPr>
          <w:p>
            <w:pPr>
              <w:jc w:val="center"/>
            </w:pPr>
            <w:r>
              <w:rPr>
                <w:b/>
                <w:bCs/>
                <w:color w:val="FFFFFF"/>
                <w:sz w:val="20"/>
                <w:szCs w:val="20"/>
              </w:rPr>
              <w:t xml:space="preserve">Baseline train count</w:t>
            </w:r>
          </w:p>
        </w:tc>
        <w:tc>
          <w:tcPr>
            <w:tcW w:type="dxa" w:w="2580"/>
            <w:shd w:fill="2F5496" w:val="clear"/>
            <w:tcMar>
              <w:top w:type="dxa" w:w="80"/>
              <w:left w:type="dxa" w:w="100"/>
              <w:bottom w:type="dxa" w:w="80"/>
              <w:right w:type="dxa" w:w="100"/>
            </w:tcMar>
          </w:tcPr>
          <w:p>
            <w:pPr>
              <w:jc w:val="center"/>
            </w:pPr>
            <w:r>
              <w:rPr>
                <w:b/>
                <w:bCs/>
                <w:color w:val="FFFFFF"/>
                <w:sz w:val="20"/>
                <w:szCs w:val="20"/>
              </w:rPr>
              <w:t xml:space="preserve">Oversampled train count</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English → Ekegusii</w:t>
            </w:r>
          </w:p>
        </w:tc>
        <w:tc>
          <w:tcPr>
            <w:tcW w:type="dxa" w:w="2580"/>
            <w:tcMar>
              <w:top w:type="dxa" w:w="80"/>
              <w:left w:type="dxa" w:w="100"/>
              <w:bottom w:type="dxa" w:w="80"/>
              <w:right w:type="dxa" w:w="100"/>
            </w:tcMar>
          </w:tcPr>
          <w:p>
            <w:pPr>
              <w:jc w:val="center"/>
            </w:pPr>
            <w:r>
              <w:rPr>
                <w:b w:val="false"/>
                <w:bCs w:val="false"/>
                <w:color w:val="000000"/>
                <w:sz w:val="20"/>
                <w:szCs w:val="20"/>
              </w:rPr>
              <w:t xml:space="preserve">4,036</w:t>
            </w:r>
          </w:p>
        </w:tc>
        <w:tc>
          <w:tcPr>
            <w:tcW w:type="dxa" w:w="2580"/>
            <w:tcMar>
              <w:top w:type="dxa" w:w="80"/>
              <w:left w:type="dxa" w:w="100"/>
              <w:bottom w:type="dxa" w:w="80"/>
              <w:right w:type="dxa" w:w="100"/>
            </w:tcMar>
          </w:tcPr>
          <w:p>
            <w:pPr>
              <w:jc w:val="center"/>
            </w:pPr>
            <w:r>
              <w:rPr>
                <w:b w:val="false"/>
                <w:bCs w:val="false"/>
                <w:color w:val="000000"/>
                <w:sz w:val="20"/>
                <w:szCs w:val="20"/>
              </w:rPr>
              <w:t xml:space="preserve">8,072</w:t>
            </w:r>
          </w:p>
        </w:tc>
      </w:tr>
      <w:tr>
        <w:tc>
          <w:tcPr>
            <w:tcW w:type="dxa" w:w="4200"/>
            <w:shd w:fill="F2F2F2" w:val="clear"/>
            <w:tcMar>
              <w:top w:type="dxa" w:w="80"/>
              <w:left w:type="dxa" w:w="100"/>
              <w:bottom w:type="dxa" w:w="80"/>
              <w:right w:type="dxa" w:w="100"/>
            </w:tcMar>
          </w:tcPr>
          <w:p>
            <w:pPr>
              <w:jc w:val="left"/>
            </w:pPr>
            <w:r>
              <w:rPr>
                <w:b w:val="false"/>
                <w:bCs w:val="false"/>
                <w:color w:val="000000"/>
                <w:sz w:val="20"/>
                <w:szCs w:val="20"/>
              </w:rPr>
              <w:t xml:space="preserve">Ekegusii → English</w:t>
            </w:r>
          </w:p>
        </w:tc>
        <w:tc>
          <w:tcPr>
            <w:tcW w:type="dxa" w:w="2580"/>
            <w:shd w:fill="F2F2F2" w:val="clear"/>
            <w:tcMar>
              <w:top w:type="dxa" w:w="80"/>
              <w:left w:type="dxa" w:w="100"/>
              <w:bottom w:type="dxa" w:w="80"/>
              <w:right w:type="dxa" w:w="100"/>
            </w:tcMar>
          </w:tcPr>
          <w:p>
            <w:pPr>
              <w:jc w:val="center"/>
            </w:pPr>
            <w:r>
              <w:rPr>
                <w:b w:val="false"/>
                <w:bCs w:val="false"/>
                <w:color w:val="000000"/>
                <w:sz w:val="20"/>
                <w:szCs w:val="20"/>
              </w:rPr>
              <w:t xml:space="preserve">3,941</w:t>
            </w:r>
          </w:p>
        </w:tc>
        <w:tc>
          <w:tcPr>
            <w:tcW w:type="dxa" w:w="2580"/>
            <w:shd w:fill="F2F2F2" w:val="clear"/>
            <w:tcMar>
              <w:top w:type="dxa" w:w="80"/>
              <w:left w:type="dxa" w:w="100"/>
              <w:bottom w:type="dxa" w:w="80"/>
              <w:right w:type="dxa" w:w="100"/>
            </w:tcMar>
          </w:tcPr>
          <w:p>
            <w:pPr>
              <w:jc w:val="center"/>
            </w:pPr>
            <w:r>
              <w:rPr>
                <w:b w:val="false"/>
                <w:bCs w:val="false"/>
                <w:color w:val="000000"/>
                <w:sz w:val="20"/>
                <w:szCs w:val="20"/>
              </w:rPr>
              <w:t xml:space="preserve">3,941</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Kiswahili → Ekegusii</w:t>
            </w:r>
          </w:p>
        </w:tc>
        <w:tc>
          <w:tcPr>
            <w:tcW w:type="dxa" w:w="2580"/>
            <w:tcMar>
              <w:top w:type="dxa" w:w="80"/>
              <w:left w:type="dxa" w:w="100"/>
              <w:bottom w:type="dxa" w:w="80"/>
              <w:right w:type="dxa" w:w="100"/>
            </w:tcMar>
          </w:tcPr>
          <w:p>
            <w:pPr>
              <w:jc w:val="center"/>
            </w:pPr>
            <w:r>
              <w:rPr>
                <w:b w:val="false"/>
                <w:bCs w:val="false"/>
                <w:color w:val="000000"/>
                <w:sz w:val="20"/>
                <w:szCs w:val="20"/>
              </w:rPr>
              <w:t xml:space="preserve">4,099</w:t>
            </w:r>
          </w:p>
        </w:tc>
        <w:tc>
          <w:tcPr>
            <w:tcW w:type="dxa" w:w="2580"/>
            <w:tcMar>
              <w:top w:type="dxa" w:w="80"/>
              <w:left w:type="dxa" w:w="100"/>
              <w:bottom w:type="dxa" w:w="80"/>
              <w:right w:type="dxa" w:w="100"/>
            </w:tcMar>
          </w:tcPr>
          <w:p>
            <w:pPr>
              <w:jc w:val="center"/>
            </w:pPr>
            <w:r>
              <w:rPr>
                <w:b w:val="false"/>
                <w:bCs w:val="false"/>
                <w:color w:val="000000"/>
                <w:sz w:val="20"/>
                <w:szCs w:val="20"/>
              </w:rPr>
              <w:t xml:space="preserve">8,198</w:t>
            </w:r>
          </w:p>
        </w:tc>
      </w:tr>
      <w:tr>
        <w:tc>
          <w:tcPr>
            <w:tcW w:type="dxa" w:w="4200"/>
            <w:shd w:fill="F2F2F2" w:val="clear"/>
            <w:tcMar>
              <w:top w:type="dxa" w:w="80"/>
              <w:left w:type="dxa" w:w="100"/>
              <w:bottom w:type="dxa" w:w="80"/>
              <w:right w:type="dxa" w:w="100"/>
            </w:tcMar>
          </w:tcPr>
          <w:p>
            <w:pPr>
              <w:jc w:val="left"/>
            </w:pPr>
            <w:r>
              <w:rPr>
                <w:b w:val="false"/>
                <w:bCs w:val="false"/>
                <w:color w:val="000000"/>
                <w:sz w:val="20"/>
                <w:szCs w:val="20"/>
              </w:rPr>
              <w:t xml:space="preserve">Ekegusii → Kiswahili</w:t>
            </w:r>
          </w:p>
        </w:tc>
        <w:tc>
          <w:tcPr>
            <w:tcW w:type="dxa" w:w="2580"/>
            <w:shd w:fill="F2F2F2" w:val="clear"/>
            <w:tcMar>
              <w:top w:type="dxa" w:w="80"/>
              <w:left w:type="dxa" w:w="100"/>
              <w:bottom w:type="dxa" w:w="80"/>
              <w:right w:type="dxa" w:w="100"/>
            </w:tcMar>
          </w:tcPr>
          <w:p>
            <w:pPr>
              <w:jc w:val="center"/>
            </w:pPr>
            <w:r>
              <w:rPr>
                <w:b w:val="false"/>
                <w:bCs w:val="false"/>
                <w:color w:val="000000"/>
                <w:sz w:val="20"/>
                <w:szCs w:val="20"/>
              </w:rPr>
              <w:t xml:space="preserve">4,112</w:t>
            </w:r>
          </w:p>
        </w:tc>
        <w:tc>
          <w:tcPr>
            <w:tcW w:type="dxa" w:w="2580"/>
            <w:shd w:fill="F2F2F2" w:val="clear"/>
            <w:tcMar>
              <w:top w:type="dxa" w:w="80"/>
              <w:left w:type="dxa" w:w="100"/>
              <w:bottom w:type="dxa" w:w="80"/>
              <w:right w:type="dxa" w:w="100"/>
            </w:tcMar>
          </w:tcPr>
          <w:p>
            <w:pPr>
              <w:jc w:val="center"/>
            </w:pPr>
            <w:r>
              <w:rPr>
                <w:b w:val="false"/>
                <w:bCs w:val="false"/>
                <w:color w:val="000000"/>
                <w:sz w:val="20"/>
                <w:szCs w:val="20"/>
              </w:rPr>
              <w:t xml:space="preserve">4,112</w:t>
            </w:r>
          </w:p>
        </w:tc>
      </w:tr>
      <w:tr>
        <w:tc>
          <w:tcPr>
            <w:tcW w:type="dxa" w:w="4200"/>
            <w:tcMar>
              <w:top w:type="dxa" w:w="80"/>
              <w:left w:type="dxa" w:w="100"/>
              <w:bottom w:type="dxa" w:w="80"/>
              <w:right w:type="dxa" w:w="100"/>
            </w:tcMar>
          </w:tcPr>
          <w:p>
            <w:pPr>
              <w:jc w:val="left"/>
            </w:pPr>
            <w:r>
              <w:rPr>
                <w:b w:val="false"/>
                <w:bCs w:val="false"/>
                <w:color w:val="000000"/>
                <w:sz w:val="20"/>
                <w:szCs w:val="20"/>
              </w:rPr>
              <w:t xml:space="preserve">Total</w:t>
            </w:r>
          </w:p>
        </w:tc>
        <w:tc>
          <w:tcPr>
            <w:tcW w:type="dxa" w:w="2580"/>
            <w:tcMar>
              <w:top w:type="dxa" w:w="80"/>
              <w:left w:type="dxa" w:w="100"/>
              <w:bottom w:type="dxa" w:w="80"/>
              <w:right w:type="dxa" w:w="100"/>
            </w:tcMar>
          </w:tcPr>
          <w:p>
            <w:pPr>
              <w:jc w:val="center"/>
            </w:pPr>
            <w:r>
              <w:rPr>
                <w:b w:val="false"/>
                <w:bCs w:val="false"/>
                <w:color w:val="000000"/>
                <w:sz w:val="20"/>
                <w:szCs w:val="20"/>
              </w:rPr>
              <w:t xml:space="preserve">16,188</w:t>
            </w:r>
          </w:p>
        </w:tc>
        <w:tc>
          <w:tcPr>
            <w:tcW w:type="dxa" w:w="2580"/>
            <w:tcMar>
              <w:top w:type="dxa" w:w="80"/>
              <w:left w:type="dxa" w:w="100"/>
              <w:bottom w:type="dxa" w:w="80"/>
              <w:right w:type="dxa" w:w="100"/>
            </w:tcMar>
          </w:tcPr>
          <w:p>
            <w:pPr>
              <w:jc w:val="center"/>
            </w:pPr>
            <w:r>
              <w:rPr>
                <w:b w:val="false"/>
                <w:bCs w:val="false"/>
                <w:color w:val="000000"/>
                <w:sz w:val="20"/>
                <w:szCs w:val="20"/>
              </w:rPr>
              <w:t xml:space="preserve">24,323</w:t>
            </w:r>
          </w:p>
        </w:tc>
      </w:tr>
    </w:tbl>
    <w:p>
      <w:pPr>
        <w:spacing w:after="220" w:before="60"/>
      </w:pPr>
      <w:r>
        <w:rPr>
          <w:i/>
          <w:iCs/>
          <w:color w:val="555555"/>
          <w:sz w:val="20"/>
          <w:szCs w:val="20"/>
        </w:rPr>
        <w:t xml:space="preserve">Table 4. Effect of target-language oversampling on training-set composition.</w:t>
      </w:r>
    </w:p>
    <w:p>
      <w:pPr>
        <w:spacing w:after="160" w:line="276"/>
      </w:pPr>
      <w:r>
        <w:t xml:space="preserve">The improved run continued training from the baseline checkpoint (rather than from the original pretrained NLLB weights), for 10 additional epochs at the same learning rate (2e-5), with a larger batch size (32, enabled by the larger A100 GPU available for this run) and a single retained checkpoint selected by lowest validation loss.</w:t>
      </w:r>
    </w:p>
    <w:p>
      <w:pPr>
        <w:pStyle w:val="Heading2"/>
        <w:spacing w:after="120" w:before="260"/>
      </w:pPr>
      <w:r>
        <w:t xml:space="preserve">3.5 Bug Found and Fixed During the Oversampling Run</w:t>
      </w:r>
    </w:p>
    <w:p>
      <w:pPr>
        <w:spacing w:after="160" w:line="276"/>
      </w:pPr>
      <w:r>
        <w:t xml:space="preserve">While preparing the oversampled run, a labeling bug was identified and corrected in the target-side tokenization: the language-token label used to force the decoder's first generated token was being constructed incorrectly for the oversampled batches. A sanity check — verifying that the first label token was the intended language code rather than an ordinary word-piece — confirmed the fix. Because this bug affected label construction, an initial pass of oversampled results was superseded by the corrected numbers reported in Section 4.3; the corrected model is the one carried forward as the final result of this stage.</w:t>
      </w:r>
    </w:p>
    <w:p>
      <w:pPr>
        <w:pStyle w:val="Heading1"/>
        <w:spacing w:after="160" w:before="320"/>
      </w:pPr>
      <w:r>
        <w:t xml:space="preserve">4. Results</w:t>
      </w:r>
    </w:p>
    <w:p>
      <w:pPr>
        <w:pStyle w:val="Heading2"/>
        <w:spacing w:after="120" w:before="260"/>
      </w:pPr>
      <w:r>
        <w:t xml:space="preserve">4.1 Baseline Model — Full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2F5496" w:val="clear"/>
            <w:tcMar>
              <w:top w:type="dxa" w:w="80"/>
              <w:left w:type="dxa" w:w="100"/>
              <w:bottom w:type="dxa" w:w="80"/>
              <w:right w:type="dxa" w:w="100"/>
            </w:tcMar>
          </w:tcPr>
          <w:p>
            <w:pPr>
              <w:jc w:val="left"/>
            </w:pPr>
            <w:r>
              <w:rPr>
                <w:b/>
                <w:bCs/>
                <w:color w:val="FFFFFF"/>
                <w:sz w:val="20"/>
                <w:szCs w:val="20"/>
              </w:rPr>
              <w:t xml:space="preserve">Direction</w:t>
            </w:r>
          </w:p>
        </w:tc>
        <w:tc>
          <w:tcPr>
            <w:tcW w:type="dxa" w:w="2000"/>
            <w:shd w:fill="2F5496" w:val="clear"/>
            <w:tcMar>
              <w:top w:type="dxa" w:w="80"/>
              <w:left w:type="dxa" w:w="100"/>
              <w:bottom w:type="dxa" w:w="80"/>
              <w:right w:type="dxa" w:w="100"/>
            </w:tcMar>
          </w:tcPr>
          <w:p>
            <w:pPr>
              <w:jc w:val="center"/>
            </w:pPr>
            <w:r>
              <w:rPr>
                <w:b/>
                <w:bCs/>
                <w:color w:val="FFFFFF"/>
                <w:sz w:val="20"/>
                <w:szCs w:val="20"/>
              </w:rPr>
              <w:t xml:space="preserve">BLEU</w:t>
            </w:r>
          </w:p>
        </w:tc>
        <w:tc>
          <w:tcPr>
            <w:tcW w:type="dxa" w:w="2000"/>
            <w:shd w:fill="2F5496" w:val="clear"/>
            <w:tcMar>
              <w:top w:type="dxa" w:w="80"/>
              <w:left w:type="dxa" w:w="100"/>
              <w:bottom w:type="dxa" w:w="80"/>
              <w:right w:type="dxa" w:w="100"/>
            </w:tcMar>
          </w:tcPr>
          <w:p>
            <w:pPr>
              <w:jc w:val="center"/>
            </w:pPr>
            <w:r>
              <w:rPr>
                <w:b/>
                <w:bCs/>
                <w:color w:val="FFFFFF"/>
                <w:sz w:val="20"/>
                <w:szCs w:val="20"/>
              </w:rPr>
              <w:t xml:space="preserve">chrF</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English → Ekegusii</w:t>
            </w:r>
          </w:p>
        </w:tc>
        <w:tc>
          <w:tcPr>
            <w:tcW w:type="dxa" w:w="2000"/>
            <w:tcMar>
              <w:top w:type="dxa" w:w="80"/>
              <w:left w:type="dxa" w:w="100"/>
              <w:bottom w:type="dxa" w:w="80"/>
              <w:right w:type="dxa" w:w="100"/>
            </w:tcMar>
          </w:tcPr>
          <w:p>
            <w:pPr>
              <w:jc w:val="center"/>
            </w:pPr>
            <w:r>
              <w:rPr>
                <w:b w:val="false"/>
                <w:bCs w:val="false"/>
                <w:color w:val="000000"/>
                <w:sz w:val="20"/>
                <w:szCs w:val="20"/>
              </w:rPr>
              <w:t xml:space="preserve">3.70</w:t>
            </w:r>
          </w:p>
        </w:tc>
        <w:tc>
          <w:tcPr>
            <w:tcW w:type="dxa" w:w="2000"/>
            <w:tcMar>
              <w:top w:type="dxa" w:w="80"/>
              <w:left w:type="dxa" w:w="100"/>
              <w:bottom w:type="dxa" w:w="80"/>
              <w:right w:type="dxa" w:w="100"/>
            </w:tcMar>
          </w:tcPr>
          <w:p>
            <w:pPr>
              <w:jc w:val="center"/>
            </w:pPr>
            <w:r>
              <w:rPr>
                <w:b w:val="false"/>
                <w:bCs w:val="false"/>
                <w:color w:val="000000"/>
                <w:sz w:val="20"/>
                <w:szCs w:val="20"/>
              </w:rPr>
              <w:t xml:space="preserve">26.45</w:t>
            </w:r>
          </w:p>
        </w:tc>
      </w:tr>
      <w:tr>
        <w:tc>
          <w:tcPr>
            <w:tcW w:type="dxa" w:w="5360"/>
            <w:shd w:fill="F2F2F2" w:val="clear"/>
            <w:tcMar>
              <w:top w:type="dxa" w:w="80"/>
              <w:left w:type="dxa" w:w="100"/>
              <w:bottom w:type="dxa" w:w="80"/>
              <w:right w:type="dxa" w:w="100"/>
            </w:tcMar>
          </w:tcPr>
          <w:p>
            <w:pPr>
              <w:jc w:val="left"/>
            </w:pPr>
            <w:r>
              <w:rPr>
                <w:b w:val="false"/>
                <w:bCs w:val="false"/>
                <w:color w:val="000000"/>
                <w:sz w:val="20"/>
                <w:szCs w:val="20"/>
              </w:rPr>
              <w:t xml:space="preserve">Ekegusii → English</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9.10</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33.13</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Kiswahili → Ekegusii</w:t>
            </w:r>
          </w:p>
        </w:tc>
        <w:tc>
          <w:tcPr>
            <w:tcW w:type="dxa" w:w="2000"/>
            <w:tcMar>
              <w:top w:type="dxa" w:w="80"/>
              <w:left w:type="dxa" w:w="100"/>
              <w:bottom w:type="dxa" w:w="80"/>
              <w:right w:type="dxa" w:w="100"/>
            </w:tcMar>
          </w:tcPr>
          <w:p>
            <w:pPr>
              <w:jc w:val="center"/>
            </w:pPr>
            <w:r>
              <w:rPr>
                <w:b w:val="false"/>
                <w:bCs w:val="false"/>
                <w:color w:val="000000"/>
                <w:sz w:val="20"/>
                <w:szCs w:val="20"/>
              </w:rPr>
              <w:t xml:space="preserve">2.83</w:t>
            </w:r>
          </w:p>
        </w:tc>
        <w:tc>
          <w:tcPr>
            <w:tcW w:type="dxa" w:w="2000"/>
            <w:tcMar>
              <w:top w:type="dxa" w:w="80"/>
              <w:left w:type="dxa" w:w="100"/>
              <w:bottom w:type="dxa" w:w="80"/>
              <w:right w:type="dxa" w:w="100"/>
            </w:tcMar>
          </w:tcPr>
          <w:p>
            <w:pPr>
              <w:jc w:val="center"/>
            </w:pPr>
            <w:r>
              <w:rPr>
                <w:b w:val="false"/>
                <w:bCs w:val="false"/>
                <w:color w:val="000000"/>
                <w:sz w:val="20"/>
                <w:szCs w:val="20"/>
              </w:rPr>
              <w:t xml:space="preserve">22.82</w:t>
            </w:r>
          </w:p>
        </w:tc>
      </w:tr>
      <w:tr>
        <w:tc>
          <w:tcPr>
            <w:tcW w:type="dxa" w:w="5360"/>
            <w:shd w:fill="F2F2F2" w:val="clear"/>
            <w:tcMar>
              <w:top w:type="dxa" w:w="80"/>
              <w:left w:type="dxa" w:w="100"/>
              <w:bottom w:type="dxa" w:w="80"/>
              <w:right w:type="dxa" w:w="100"/>
            </w:tcMar>
          </w:tcPr>
          <w:p>
            <w:pPr>
              <w:jc w:val="left"/>
            </w:pPr>
            <w:r>
              <w:rPr>
                <w:b w:val="false"/>
                <w:bCs w:val="false"/>
                <w:color w:val="000000"/>
                <w:sz w:val="20"/>
                <w:szCs w:val="20"/>
              </w:rPr>
              <w:t xml:space="preserve">Ekegusii → Kiswahili</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11.00</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38.03</w:t>
            </w:r>
          </w:p>
        </w:tc>
      </w:tr>
    </w:tbl>
    <w:p>
      <w:pPr>
        <w:spacing w:after="220" w:before="60"/>
      </w:pPr>
      <w:r>
        <w:rPr>
          <w:i/>
          <w:iCs/>
          <w:color w:val="555555"/>
          <w:sz w:val="20"/>
          <w:szCs w:val="20"/>
        </w:rPr>
        <w:t xml:space="preserve">Table 5. Baseline model performance, evaluated on the full test set for each direction.</w:t>
      </w:r>
    </w:p>
    <w:p>
      <w:pPr>
        <w:spacing w:after="160" w:line="276"/>
      </w:pPr>
      <w:r>
        <w:t xml:space="preserve">Two consistent patterns emerged. First, translating out of Ekegusii scored substantially higher than translating into it in both metrics — the model appears to understand Ekegusii input better than it can produce Ekegusii output, which is consistent with Ekegusii generation resting entirely on a newly-added, minimally-trained embedding. Second, despite Kiswahili and Ekegusii sharing Bantu-family structure (noun classes, agglutinative morphology), Kiswahili → Ekegusii was the weakest direction overall — shared language family did not, by itself, produce a translation advantage over English → Ekegusii.</w:t>
      </w:r>
    </w:p>
    <w:p>
      <w:pPr>
        <w:spacing w:after="160" w:line="276"/>
      </w:pPr>
      <w:r>
        <w:t xml:space="preserve">Manual inspection of baseline outputs surfaced a specific failure mode beyond low n-gram overlap: on a meaningful share of English → Ekegusii examples, the model produced fluent, semantically reasonable text — but in the wrong language (English or Kiswahili instead of Ekegusii). This indicates the guz_Latn conditioning was not yet reliably steering generation, separate from and in addition to any accuracy shortfall.</w:t>
      </w:r>
    </w:p>
    <w:p>
      <w:pPr>
        <w:pStyle w:val="Heading2"/>
        <w:spacing w:after="120" w:before="260"/>
      </w:pPr>
      <w:r>
        <w:t xml:space="preserve">4.2 Improved (Target-Oversampled, Corrected) Model — Full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2F5496" w:val="clear"/>
            <w:tcMar>
              <w:top w:type="dxa" w:w="80"/>
              <w:left w:type="dxa" w:w="100"/>
              <w:bottom w:type="dxa" w:w="80"/>
              <w:right w:type="dxa" w:w="100"/>
            </w:tcMar>
          </w:tcPr>
          <w:p>
            <w:pPr>
              <w:jc w:val="left"/>
            </w:pPr>
            <w:r>
              <w:rPr>
                <w:b/>
                <w:bCs/>
                <w:color w:val="FFFFFF"/>
                <w:sz w:val="20"/>
                <w:szCs w:val="20"/>
              </w:rPr>
              <w:t xml:space="preserve">Direction</w:t>
            </w:r>
          </w:p>
        </w:tc>
        <w:tc>
          <w:tcPr>
            <w:tcW w:type="dxa" w:w="2000"/>
            <w:shd w:fill="2F5496" w:val="clear"/>
            <w:tcMar>
              <w:top w:type="dxa" w:w="80"/>
              <w:left w:type="dxa" w:w="100"/>
              <w:bottom w:type="dxa" w:w="80"/>
              <w:right w:type="dxa" w:w="100"/>
            </w:tcMar>
          </w:tcPr>
          <w:p>
            <w:pPr>
              <w:jc w:val="center"/>
            </w:pPr>
            <w:r>
              <w:rPr>
                <w:b/>
                <w:bCs/>
                <w:color w:val="FFFFFF"/>
                <w:sz w:val="20"/>
                <w:szCs w:val="20"/>
              </w:rPr>
              <w:t xml:space="preserve">BLEU</w:t>
            </w:r>
          </w:p>
        </w:tc>
        <w:tc>
          <w:tcPr>
            <w:tcW w:type="dxa" w:w="2000"/>
            <w:shd w:fill="2F5496" w:val="clear"/>
            <w:tcMar>
              <w:top w:type="dxa" w:w="80"/>
              <w:left w:type="dxa" w:w="100"/>
              <w:bottom w:type="dxa" w:w="80"/>
              <w:right w:type="dxa" w:w="100"/>
            </w:tcMar>
          </w:tcPr>
          <w:p>
            <w:pPr>
              <w:jc w:val="center"/>
            </w:pPr>
            <w:r>
              <w:rPr>
                <w:b/>
                <w:bCs/>
                <w:color w:val="FFFFFF"/>
                <w:sz w:val="20"/>
                <w:szCs w:val="20"/>
              </w:rPr>
              <w:t xml:space="preserve">chrF</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English → Ekegusii</w:t>
            </w:r>
          </w:p>
        </w:tc>
        <w:tc>
          <w:tcPr>
            <w:tcW w:type="dxa" w:w="2000"/>
            <w:tcMar>
              <w:top w:type="dxa" w:w="80"/>
              <w:left w:type="dxa" w:w="100"/>
              <w:bottom w:type="dxa" w:w="80"/>
              <w:right w:type="dxa" w:w="100"/>
            </w:tcMar>
          </w:tcPr>
          <w:p>
            <w:pPr>
              <w:jc w:val="center"/>
            </w:pPr>
            <w:r>
              <w:rPr>
                <w:b w:val="false"/>
                <w:bCs w:val="false"/>
                <w:color w:val="000000"/>
                <w:sz w:val="20"/>
                <w:szCs w:val="20"/>
              </w:rPr>
              <w:t xml:space="preserve">17.04</w:t>
            </w:r>
          </w:p>
        </w:tc>
        <w:tc>
          <w:tcPr>
            <w:tcW w:type="dxa" w:w="2000"/>
            <w:tcMar>
              <w:top w:type="dxa" w:w="80"/>
              <w:left w:type="dxa" w:w="100"/>
              <w:bottom w:type="dxa" w:w="80"/>
              <w:right w:type="dxa" w:w="100"/>
            </w:tcMar>
          </w:tcPr>
          <w:p>
            <w:pPr>
              <w:jc w:val="center"/>
            </w:pPr>
            <w:r>
              <w:rPr>
                <w:b w:val="false"/>
                <w:bCs w:val="false"/>
                <w:color w:val="000000"/>
                <w:sz w:val="20"/>
                <w:szCs w:val="20"/>
              </w:rPr>
              <w:t xml:space="preserve">47.71</w:t>
            </w:r>
          </w:p>
        </w:tc>
      </w:tr>
      <w:tr>
        <w:tc>
          <w:tcPr>
            <w:tcW w:type="dxa" w:w="5360"/>
            <w:shd w:fill="F2F2F2" w:val="clear"/>
            <w:tcMar>
              <w:top w:type="dxa" w:w="80"/>
              <w:left w:type="dxa" w:w="100"/>
              <w:bottom w:type="dxa" w:w="80"/>
              <w:right w:type="dxa" w:w="100"/>
            </w:tcMar>
          </w:tcPr>
          <w:p>
            <w:pPr>
              <w:jc w:val="left"/>
            </w:pPr>
            <w:r>
              <w:rPr>
                <w:b w:val="false"/>
                <w:bCs w:val="false"/>
                <w:color w:val="000000"/>
                <w:sz w:val="20"/>
                <w:szCs w:val="20"/>
              </w:rPr>
              <w:t xml:space="preserve">Ekegusii → English</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16.89</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41.71</w:t>
            </w:r>
          </w:p>
        </w:tc>
      </w:tr>
      <w:tr>
        <w:tc>
          <w:tcPr>
            <w:tcW w:type="dxa" w:w="5360"/>
            <w:tcMar>
              <w:top w:type="dxa" w:w="80"/>
              <w:left w:type="dxa" w:w="100"/>
              <w:bottom w:type="dxa" w:w="80"/>
              <w:right w:type="dxa" w:w="100"/>
            </w:tcMar>
          </w:tcPr>
          <w:p>
            <w:pPr>
              <w:jc w:val="left"/>
            </w:pPr>
            <w:r>
              <w:rPr>
                <w:b w:val="false"/>
                <w:bCs w:val="false"/>
                <w:color w:val="000000"/>
                <w:sz w:val="20"/>
                <w:szCs w:val="20"/>
              </w:rPr>
              <w:t xml:space="preserve">Kiswahili → Ekegusii</w:t>
            </w:r>
          </w:p>
        </w:tc>
        <w:tc>
          <w:tcPr>
            <w:tcW w:type="dxa" w:w="2000"/>
            <w:tcMar>
              <w:top w:type="dxa" w:w="80"/>
              <w:left w:type="dxa" w:w="100"/>
              <w:bottom w:type="dxa" w:w="80"/>
              <w:right w:type="dxa" w:w="100"/>
            </w:tcMar>
          </w:tcPr>
          <w:p>
            <w:pPr>
              <w:jc w:val="center"/>
            </w:pPr>
            <w:r>
              <w:rPr>
                <w:b w:val="false"/>
                <w:bCs w:val="false"/>
                <w:color w:val="000000"/>
                <w:sz w:val="20"/>
                <w:szCs w:val="20"/>
              </w:rPr>
              <w:t xml:space="preserve">15.83</w:t>
            </w:r>
          </w:p>
        </w:tc>
        <w:tc>
          <w:tcPr>
            <w:tcW w:type="dxa" w:w="2000"/>
            <w:tcMar>
              <w:top w:type="dxa" w:w="80"/>
              <w:left w:type="dxa" w:w="100"/>
              <w:bottom w:type="dxa" w:w="80"/>
              <w:right w:type="dxa" w:w="100"/>
            </w:tcMar>
          </w:tcPr>
          <w:p>
            <w:pPr>
              <w:jc w:val="center"/>
            </w:pPr>
            <w:r>
              <w:rPr>
                <w:b w:val="false"/>
                <w:bCs w:val="false"/>
                <w:color w:val="000000"/>
                <w:sz w:val="20"/>
                <w:szCs w:val="20"/>
              </w:rPr>
              <w:t xml:space="preserve">48.12</w:t>
            </w:r>
          </w:p>
        </w:tc>
      </w:tr>
      <w:tr>
        <w:tc>
          <w:tcPr>
            <w:tcW w:type="dxa" w:w="5360"/>
            <w:shd w:fill="F2F2F2" w:val="clear"/>
            <w:tcMar>
              <w:top w:type="dxa" w:w="80"/>
              <w:left w:type="dxa" w:w="100"/>
              <w:bottom w:type="dxa" w:w="80"/>
              <w:right w:type="dxa" w:w="100"/>
            </w:tcMar>
          </w:tcPr>
          <w:p>
            <w:pPr>
              <w:jc w:val="left"/>
            </w:pPr>
            <w:r>
              <w:rPr>
                <w:b w:val="false"/>
                <w:bCs w:val="false"/>
                <w:color w:val="000000"/>
                <w:sz w:val="20"/>
                <w:szCs w:val="20"/>
              </w:rPr>
              <w:t xml:space="preserve">Ekegusii → Kiswahili</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17.18</w:t>
            </w:r>
          </w:p>
        </w:tc>
        <w:tc>
          <w:tcPr>
            <w:tcW w:type="dxa" w:w="2000"/>
            <w:shd w:fill="F2F2F2" w:val="clear"/>
            <w:tcMar>
              <w:top w:type="dxa" w:w="80"/>
              <w:left w:type="dxa" w:w="100"/>
              <w:bottom w:type="dxa" w:w="80"/>
              <w:right w:type="dxa" w:w="100"/>
            </w:tcMar>
          </w:tcPr>
          <w:p>
            <w:pPr>
              <w:jc w:val="center"/>
            </w:pPr>
            <w:r>
              <w:rPr>
                <w:b w:val="false"/>
                <w:bCs w:val="false"/>
                <w:color w:val="000000"/>
                <w:sz w:val="20"/>
                <w:szCs w:val="20"/>
              </w:rPr>
              <w:t xml:space="preserve">44.37</w:t>
            </w:r>
          </w:p>
        </w:tc>
      </w:tr>
    </w:tbl>
    <w:p>
      <w:pPr>
        <w:spacing w:after="220" w:before="60"/>
      </w:pPr>
      <w:r>
        <w:rPr>
          <w:i/>
          <w:iCs/>
          <w:color w:val="555555"/>
          <w:sz w:val="20"/>
          <w:szCs w:val="20"/>
        </w:rPr>
        <w:t xml:space="preserve">Table 6. Improved model performance (10 additional epochs on the oversampled, label-corrected dataset), full test set.</w:t>
      </w:r>
    </w:p>
    <w:p>
      <w:pPr>
        <w:pStyle w:val="Heading2"/>
        <w:spacing w:after="120" w:before="260"/>
      </w:pPr>
      <w:r>
        <w:t xml:space="preserve">4.3 Baseline vs. Improved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200"/>
        <w:gridCol w:w="1200"/>
        <w:gridCol w:w="1000"/>
        <w:gridCol w:w="1200"/>
        <w:gridCol w:w="1200"/>
        <w:gridCol w:w="1000"/>
      </w:tblGrid>
      <w:tr>
        <w:trPr>
          <w:tblHeader/>
        </w:trPr>
        <w:tc>
          <w:tcPr>
            <w:tcW w:type="dxa" w:w="2760"/>
            <w:shd w:fill="2F5496" w:val="clear"/>
            <w:tcMar>
              <w:top w:type="dxa" w:w="80"/>
              <w:left w:type="dxa" w:w="100"/>
              <w:bottom w:type="dxa" w:w="80"/>
              <w:right w:type="dxa" w:w="100"/>
            </w:tcMar>
          </w:tcPr>
          <w:p>
            <w:pPr>
              <w:jc w:val="left"/>
            </w:pPr>
            <w:r>
              <w:rPr>
                <w:b/>
                <w:bCs/>
                <w:color w:val="FFFFFF"/>
                <w:sz w:val="20"/>
                <w:szCs w:val="20"/>
              </w:rPr>
              <w:t xml:space="preserve">Direction</w:t>
            </w:r>
          </w:p>
        </w:tc>
        <w:tc>
          <w:tcPr>
            <w:tcW w:type="dxa" w:w="1200"/>
            <w:shd w:fill="2F5496" w:val="clear"/>
            <w:tcMar>
              <w:top w:type="dxa" w:w="80"/>
              <w:left w:type="dxa" w:w="100"/>
              <w:bottom w:type="dxa" w:w="80"/>
              <w:right w:type="dxa" w:w="100"/>
            </w:tcMar>
          </w:tcPr>
          <w:p>
            <w:pPr>
              <w:jc w:val="center"/>
            </w:pPr>
            <w:r>
              <w:rPr>
                <w:b/>
                <w:bCs/>
                <w:color w:val="FFFFFF"/>
                <w:sz w:val="20"/>
                <w:szCs w:val="20"/>
              </w:rPr>
              <w:t xml:space="preserve">Baseline BLEU</w:t>
            </w:r>
          </w:p>
        </w:tc>
        <w:tc>
          <w:tcPr>
            <w:tcW w:type="dxa" w:w="1200"/>
            <w:shd w:fill="2F5496" w:val="clear"/>
            <w:tcMar>
              <w:top w:type="dxa" w:w="80"/>
              <w:left w:type="dxa" w:w="100"/>
              <w:bottom w:type="dxa" w:w="80"/>
              <w:right w:type="dxa" w:w="100"/>
            </w:tcMar>
          </w:tcPr>
          <w:p>
            <w:pPr>
              <w:jc w:val="center"/>
            </w:pPr>
            <w:r>
              <w:rPr>
                <w:b/>
                <w:bCs/>
                <w:color w:val="FFFFFF"/>
                <w:sz w:val="20"/>
                <w:szCs w:val="20"/>
              </w:rPr>
              <w:t xml:space="preserve">Improved BLEU</w:t>
            </w:r>
          </w:p>
        </w:tc>
        <w:tc>
          <w:tcPr>
            <w:tcW w:type="dxa" w:w="1000"/>
            <w:shd w:fill="2F5496" w:val="clear"/>
            <w:tcMar>
              <w:top w:type="dxa" w:w="80"/>
              <w:left w:type="dxa" w:w="100"/>
              <w:bottom w:type="dxa" w:w="80"/>
              <w:right w:type="dxa" w:w="100"/>
            </w:tcMar>
          </w:tcPr>
          <w:p>
            <w:pPr>
              <w:jc w:val="center"/>
            </w:pPr>
            <w:r>
              <w:rPr>
                <w:b/>
                <w:bCs/>
                <w:color w:val="FFFFFF"/>
                <w:sz w:val="20"/>
                <w:szCs w:val="20"/>
              </w:rPr>
              <w:t xml:space="preserve">Δ BLEU</w:t>
            </w:r>
          </w:p>
        </w:tc>
        <w:tc>
          <w:tcPr>
            <w:tcW w:type="dxa" w:w="1200"/>
            <w:shd w:fill="2F5496" w:val="clear"/>
            <w:tcMar>
              <w:top w:type="dxa" w:w="80"/>
              <w:left w:type="dxa" w:w="100"/>
              <w:bottom w:type="dxa" w:w="80"/>
              <w:right w:type="dxa" w:w="100"/>
            </w:tcMar>
          </w:tcPr>
          <w:p>
            <w:pPr>
              <w:jc w:val="center"/>
            </w:pPr>
            <w:r>
              <w:rPr>
                <w:b/>
                <w:bCs/>
                <w:color w:val="FFFFFF"/>
                <w:sz w:val="20"/>
                <w:szCs w:val="20"/>
              </w:rPr>
              <w:t xml:space="preserve">Baseline chrF</w:t>
            </w:r>
          </w:p>
        </w:tc>
        <w:tc>
          <w:tcPr>
            <w:tcW w:type="dxa" w:w="1200"/>
            <w:shd w:fill="2F5496" w:val="clear"/>
            <w:tcMar>
              <w:top w:type="dxa" w:w="80"/>
              <w:left w:type="dxa" w:w="100"/>
              <w:bottom w:type="dxa" w:w="80"/>
              <w:right w:type="dxa" w:w="100"/>
            </w:tcMar>
          </w:tcPr>
          <w:p>
            <w:pPr>
              <w:jc w:val="center"/>
            </w:pPr>
            <w:r>
              <w:rPr>
                <w:b/>
                <w:bCs/>
                <w:color w:val="FFFFFF"/>
                <w:sz w:val="20"/>
                <w:szCs w:val="20"/>
              </w:rPr>
              <w:t xml:space="preserve">Improved chrF</w:t>
            </w:r>
          </w:p>
        </w:tc>
        <w:tc>
          <w:tcPr>
            <w:tcW w:type="dxa" w:w="1000"/>
            <w:shd w:fill="2F5496" w:val="clear"/>
            <w:tcMar>
              <w:top w:type="dxa" w:w="80"/>
              <w:left w:type="dxa" w:w="100"/>
              <w:bottom w:type="dxa" w:w="80"/>
              <w:right w:type="dxa" w:w="100"/>
            </w:tcMar>
          </w:tcPr>
          <w:p>
            <w:pPr>
              <w:jc w:val="center"/>
            </w:pPr>
            <w:r>
              <w:rPr>
                <w:b/>
                <w:bCs/>
                <w:color w:val="FFFFFF"/>
                <w:sz w:val="20"/>
                <w:szCs w:val="20"/>
              </w:rPr>
              <w:t xml:space="preserve">Δ chrF</w:t>
            </w:r>
          </w:p>
        </w:tc>
      </w:tr>
      <w:tr>
        <w:tc>
          <w:tcPr>
            <w:tcW w:type="dxa" w:w="2760"/>
            <w:tcMar>
              <w:top w:type="dxa" w:w="80"/>
              <w:left w:type="dxa" w:w="100"/>
              <w:bottom w:type="dxa" w:w="80"/>
              <w:right w:type="dxa" w:w="100"/>
            </w:tcMar>
          </w:tcPr>
          <w:p>
            <w:pPr>
              <w:jc w:val="left"/>
            </w:pPr>
            <w:r>
              <w:rPr>
                <w:b w:val="false"/>
                <w:bCs w:val="false"/>
                <w:color w:val="000000"/>
                <w:sz w:val="20"/>
                <w:szCs w:val="20"/>
              </w:rPr>
              <w:t xml:space="preserve">English → Ekegusii</w:t>
            </w:r>
          </w:p>
        </w:tc>
        <w:tc>
          <w:tcPr>
            <w:tcW w:type="dxa" w:w="1200"/>
            <w:tcMar>
              <w:top w:type="dxa" w:w="80"/>
              <w:left w:type="dxa" w:w="100"/>
              <w:bottom w:type="dxa" w:w="80"/>
              <w:right w:type="dxa" w:w="100"/>
            </w:tcMar>
          </w:tcPr>
          <w:p>
            <w:pPr>
              <w:jc w:val="center"/>
            </w:pPr>
            <w:r>
              <w:rPr>
                <w:b w:val="false"/>
                <w:bCs w:val="false"/>
                <w:color w:val="000000"/>
                <w:sz w:val="20"/>
                <w:szCs w:val="20"/>
              </w:rPr>
              <w:t xml:space="preserve">3.70</w:t>
            </w:r>
          </w:p>
        </w:tc>
        <w:tc>
          <w:tcPr>
            <w:tcW w:type="dxa" w:w="1200"/>
            <w:tcMar>
              <w:top w:type="dxa" w:w="80"/>
              <w:left w:type="dxa" w:w="100"/>
              <w:bottom w:type="dxa" w:w="80"/>
              <w:right w:type="dxa" w:w="100"/>
            </w:tcMar>
          </w:tcPr>
          <w:p>
            <w:pPr>
              <w:jc w:val="center"/>
            </w:pPr>
            <w:r>
              <w:rPr>
                <w:b w:val="false"/>
                <w:bCs w:val="false"/>
                <w:color w:val="000000"/>
                <w:sz w:val="20"/>
                <w:szCs w:val="20"/>
              </w:rPr>
              <w:t xml:space="preserve">17.04</w:t>
            </w:r>
          </w:p>
        </w:tc>
        <w:tc>
          <w:tcPr>
            <w:tcW w:type="dxa" w:w="1000"/>
            <w:tcMar>
              <w:top w:type="dxa" w:w="80"/>
              <w:left w:type="dxa" w:w="100"/>
              <w:bottom w:type="dxa" w:w="80"/>
              <w:right w:type="dxa" w:w="100"/>
            </w:tcMar>
          </w:tcPr>
          <w:p>
            <w:pPr>
              <w:jc w:val="center"/>
            </w:pPr>
            <w:r>
              <w:rPr>
                <w:b w:val="false"/>
                <w:bCs w:val="false"/>
                <w:color w:val="000000"/>
                <w:sz w:val="20"/>
                <w:szCs w:val="20"/>
              </w:rPr>
              <w:t xml:space="preserve">+13.34</w:t>
            </w:r>
          </w:p>
        </w:tc>
        <w:tc>
          <w:tcPr>
            <w:tcW w:type="dxa" w:w="1200"/>
            <w:tcMar>
              <w:top w:type="dxa" w:w="80"/>
              <w:left w:type="dxa" w:w="100"/>
              <w:bottom w:type="dxa" w:w="80"/>
              <w:right w:type="dxa" w:w="100"/>
            </w:tcMar>
          </w:tcPr>
          <w:p>
            <w:pPr>
              <w:jc w:val="center"/>
            </w:pPr>
            <w:r>
              <w:rPr>
                <w:b w:val="false"/>
                <w:bCs w:val="false"/>
                <w:color w:val="000000"/>
                <w:sz w:val="20"/>
                <w:szCs w:val="20"/>
              </w:rPr>
              <w:t xml:space="preserve">26.45</w:t>
            </w:r>
          </w:p>
        </w:tc>
        <w:tc>
          <w:tcPr>
            <w:tcW w:type="dxa" w:w="1200"/>
            <w:tcMar>
              <w:top w:type="dxa" w:w="80"/>
              <w:left w:type="dxa" w:w="100"/>
              <w:bottom w:type="dxa" w:w="80"/>
              <w:right w:type="dxa" w:w="100"/>
            </w:tcMar>
          </w:tcPr>
          <w:p>
            <w:pPr>
              <w:jc w:val="center"/>
            </w:pPr>
            <w:r>
              <w:rPr>
                <w:b w:val="false"/>
                <w:bCs w:val="false"/>
                <w:color w:val="000000"/>
                <w:sz w:val="20"/>
                <w:szCs w:val="20"/>
              </w:rPr>
              <w:t xml:space="preserve">47.71</w:t>
            </w:r>
          </w:p>
        </w:tc>
        <w:tc>
          <w:tcPr>
            <w:tcW w:type="dxa" w:w="1000"/>
            <w:tcMar>
              <w:top w:type="dxa" w:w="80"/>
              <w:left w:type="dxa" w:w="100"/>
              <w:bottom w:type="dxa" w:w="80"/>
              <w:right w:type="dxa" w:w="100"/>
            </w:tcMar>
          </w:tcPr>
          <w:p>
            <w:pPr>
              <w:jc w:val="center"/>
            </w:pPr>
            <w:r>
              <w:rPr>
                <w:b w:val="false"/>
                <w:bCs w:val="false"/>
                <w:color w:val="000000"/>
                <w:sz w:val="20"/>
                <w:szCs w:val="20"/>
              </w:rPr>
              <w:t xml:space="preserve">+21.26</w:t>
            </w:r>
          </w:p>
        </w:tc>
      </w:tr>
      <w:tr>
        <w:tc>
          <w:tcPr>
            <w:tcW w:type="dxa" w:w="2760"/>
            <w:shd w:fill="F2F2F2" w:val="clear"/>
            <w:tcMar>
              <w:top w:type="dxa" w:w="80"/>
              <w:left w:type="dxa" w:w="100"/>
              <w:bottom w:type="dxa" w:w="80"/>
              <w:right w:type="dxa" w:w="100"/>
            </w:tcMar>
          </w:tcPr>
          <w:p>
            <w:pPr>
              <w:jc w:val="left"/>
            </w:pPr>
            <w:r>
              <w:rPr>
                <w:b w:val="false"/>
                <w:bCs w:val="false"/>
                <w:color w:val="000000"/>
                <w:sz w:val="20"/>
                <w:szCs w:val="20"/>
              </w:rPr>
              <w:t xml:space="preserve">Ekegusii → English</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9.10</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16.89</w:t>
            </w:r>
          </w:p>
        </w:tc>
        <w:tc>
          <w:tcPr>
            <w:tcW w:type="dxa" w:w="1000"/>
            <w:shd w:fill="F2F2F2" w:val="clear"/>
            <w:tcMar>
              <w:top w:type="dxa" w:w="80"/>
              <w:left w:type="dxa" w:w="100"/>
              <w:bottom w:type="dxa" w:w="80"/>
              <w:right w:type="dxa" w:w="100"/>
            </w:tcMar>
          </w:tcPr>
          <w:p>
            <w:pPr>
              <w:jc w:val="center"/>
            </w:pPr>
            <w:r>
              <w:rPr>
                <w:b w:val="false"/>
                <w:bCs w:val="false"/>
                <w:color w:val="000000"/>
                <w:sz w:val="20"/>
                <w:szCs w:val="20"/>
              </w:rPr>
              <w:t xml:space="preserve">+7.79</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33.13</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41.71</w:t>
            </w:r>
          </w:p>
        </w:tc>
        <w:tc>
          <w:tcPr>
            <w:tcW w:type="dxa" w:w="1000"/>
            <w:shd w:fill="F2F2F2" w:val="clear"/>
            <w:tcMar>
              <w:top w:type="dxa" w:w="80"/>
              <w:left w:type="dxa" w:w="100"/>
              <w:bottom w:type="dxa" w:w="80"/>
              <w:right w:type="dxa" w:w="100"/>
            </w:tcMar>
          </w:tcPr>
          <w:p>
            <w:pPr>
              <w:jc w:val="center"/>
            </w:pPr>
            <w:r>
              <w:rPr>
                <w:b w:val="false"/>
                <w:bCs w:val="false"/>
                <w:color w:val="000000"/>
                <w:sz w:val="20"/>
                <w:szCs w:val="20"/>
              </w:rPr>
              <w:t xml:space="preserve">+8.58</w:t>
            </w:r>
          </w:p>
        </w:tc>
      </w:tr>
      <w:tr>
        <w:tc>
          <w:tcPr>
            <w:tcW w:type="dxa" w:w="2760"/>
            <w:tcMar>
              <w:top w:type="dxa" w:w="80"/>
              <w:left w:type="dxa" w:w="100"/>
              <w:bottom w:type="dxa" w:w="80"/>
              <w:right w:type="dxa" w:w="100"/>
            </w:tcMar>
          </w:tcPr>
          <w:p>
            <w:pPr>
              <w:jc w:val="left"/>
            </w:pPr>
            <w:r>
              <w:rPr>
                <w:b w:val="false"/>
                <w:bCs w:val="false"/>
                <w:color w:val="000000"/>
                <w:sz w:val="20"/>
                <w:szCs w:val="20"/>
              </w:rPr>
              <w:t xml:space="preserve">Kiswahili → Ekegusii</w:t>
            </w:r>
          </w:p>
        </w:tc>
        <w:tc>
          <w:tcPr>
            <w:tcW w:type="dxa" w:w="1200"/>
            <w:tcMar>
              <w:top w:type="dxa" w:w="80"/>
              <w:left w:type="dxa" w:w="100"/>
              <w:bottom w:type="dxa" w:w="80"/>
              <w:right w:type="dxa" w:w="100"/>
            </w:tcMar>
          </w:tcPr>
          <w:p>
            <w:pPr>
              <w:jc w:val="center"/>
            </w:pPr>
            <w:r>
              <w:rPr>
                <w:b w:val="false"/>
                <w:bCs w:val="false"/>
                <w:color w:val="000000"/>
                <w:sz w:val="20"/>
                <w:szCs w:val="20"/>
              </w:rPr>
              <w:t xml:space="preserve">2.83</w:t>
            </w:r>
          </w:p>
        </w:tc>
        <w:tc>
          <w:tcPr>
            <w:tcW w:type="dxa" w:w="1200"/>
            <w:tcMar>
              <w:top w:type="dxa" w:w="80"/>
              <w:left w:type="dxa" w:w="100"/>
              <w:bottom w:type="dxa" w:w="80"/>
              <w:right w:type="dxa" w:w="100"/>
            </w:tcMar>
          </w:tcPr>
          <w:p>
            <w:pPr>
              <w:jc w:val="center"/>
            </w:pPr>
            <w:r>
              <w:rPr>
                <w:b w:val="false"/>
                <w:bCs w:val="false"/>
                <w:color w:val="000000"/>
                <w:sz w:val="20"/>
                <w:szCs w:val="20"/>
              </w:rPr>
              <w:t xml:space="preserve">15.83</w:t>
            </w:r>
          </w:p>
        </w:tc>
        <w:tc>
          <w:tcPr>
            <w:tcW w:type="dxa" w:w="1000"/>
            <w:tcMar>
              <w:top w:type="dxa" w:w="80"/>
              <w:left w:type="dxa" w:w="100"/>
              <w:bottom w:type="dxa" w:w="80"/>
              <w:right w:type="dxa" w:w="100"/>
            </w:tcMar>
          </w:tcPr>
          <w:p>
            <w:pPr>
              <w:jc w:val="center"/>
            </w:pPr>
            <w:r>
              <w:rPr>
                <w:b w:val="false"/>
                <w:bCs w:val="false"/>
                <w:color w:val="000000"/>
                <w:sz w:val="20"/>
                <w:szCs w:val="20"/>
              </w:rPr>
              <w:t xml:space="preserve">+13.00</w:t>
            </w:r>
          </w:p>
        </w:tc>
        <w:tc>
          <w:tcPr>
            <w:tcW w:type="dxa" w:w="1200"/>
            <w:tcMar>
              <w:top w:type="dxa" w:w="80"/>
              <w:left w:type="dxa" w:w="100"/>
              <w:bottom w:type="dxa" w:w="80"/>
              <w:right w:type="dxa" w:w="100"/>
            </w:tcMar>
          </w:tcPr>
          <w:p>
            <w:pPr>
              <w:jc w:val="center"/>
            </w:pPr>
            <w:r>
              <w:rPr>
                <w:b w:val="false"/>
                <w:bCs w:val="false"/>
                <w:color w:val="000000"/>
                <w:sz w:val="20"/>
                <w:szCs w:val="20"/>
              </w:rPr>
              <w:t xml:space="preserve">22.82</w:t>
            </w:r>
          </w:p>
        </w:tc>
        <w:tc>
          <w:tcPr>
            <w:tcW w:type="dxa" w:w="1200"/>
            <w:tcMar>
              <w:top w:type="dxa" w:w="80"/>
              <w:left w:type="dxa" w:w="100"/>
              <w:bottom w:type="dxa" w:w="80"/>
              <w:right w:type="dxa" w:w="100"/>
            </w:tcMar>
          </w:tcPr>
          <w:p>
            <w:pPr>
              <w:jc w:val="center"/>
            </w:pPr>
            <w:r>
              <w:rPr>
                <w:b w:val="false"/>
                <w:bCs w:val="false"/>
                <w:color w:val="000000"/>
                <w:sz w:val="20"/>
                <w:szCs w:val="20"/>
              </w:rPr>
              <w:t xml:space="preserve">48.12</w:t>
            </w:r>
          </w:p>
        </w:tc>
        <w:tc>
          <w:tcPr>
            <w:tcW w:type="dxa" w:w="1000"/>
            <w:tcMar>
              <w:top w:type="dxa" w:w="80"/>
              <w:left w:type="dxa" w:w="100"/>
              <w:bottom w:type="dxa" w:w="80"/>
              <w:right w:type="dxa" w:w="100"/>
            </w:tcMar>
          </w:tcPr>
          <w:p>
            <w:pPr>
              <w:jc w:val="center"/>
            </w:pPr>
            <w:r>
              <w:rPr>
                <w:b w:val="false"/>
                <w:bCs w:val="false"/>
                <w:color w:val="000000"/>
                <w:sz w:val="20"/>
                <w:szCs w:val="20"/>
              </w:rPr>
              <w:t xml:space="preserve">+25.30</w:t>
            </w:r>
          </w:p>
        </w:tc>
      </w:tr>
      <w:tr>
        <w:tc>
          <w:tcPr>
            <w:tcW w:type="dxa" w:w="2760"/>
            <w:shd w:fill="F2F2F2" w:val="clear"/>
            <w:tcMar>
              <w:top w:type="dxa" w:w="80"/>
              <w:left w:type="dxa" w:w="100"/>
              <w:bottom w:type="dxa" w:w="80"/>
              <w:right w:type="dxa" w:w="100"/>
            </w:tcMar>
          </w:tcPr>
          <w:p>
            <w:pPr>
              <w:jc w:val="left"/>
            </w:pPr>
            <w:r>
              <w:rPr>
                <w:b w:val="false"/>
                <w:bCs w:val="false"/>
                <w:color w:val="000000"/>
                <w:sz w:val="20"/>
                <w:szCs w:val="20"/>
              </w:rPr>
              <w:t xml:space="preserve">Ekegusii → Kiswahili</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11.00</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17.18</w:t>
            </w:r>
          </w:p>
        </w:tc>
        <w:tc>
          <w:tcPr>
            <w:tcW w:type="dxa" w:w="1000"/>
            <w:shd w:fill="F2F2F2" w:val="clear"/>
            <w:tcMar>
              <w:top w:type="dxa" w:w="80"/>
              <w:left w:type="dxa" w:w="100"/>
              <w:bottom w:type="dxa" w:w="80"/>
              <w:right w:type="dxa" w:w="100"/>
            </w:tcMar>
          </w:tcPr>
          <w:p>
            <w:pPr>
              <w:jc w:val="center"/>
            </w:pPr>
            <w:r>
              <w:rPr>
                <w:b w:val="false"/>
                <w:bCs w:val="false"/>
                <w:color w:val="000000"/>
                <w:sz w:val="20"/>
                <w:szCs w:val="20"/>
              </w:rPr>
              <w:t xml:space="preserve">+6.18</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38.03</w:t>
            </w:r>
          </w:p>
        </w:tc>
        <w:tc>
          <w:tcPr>
            <w:tcW w:type="dxa" w:w="1200"/>
            <w:shd w:fill="F2F2F2" w:val="clear"/>
            <w:tcMar>
              <w:top w:type="dxa" w:w="80"/>
              <w:left w:type="dxa" w:w="100"/>
              <w:bottom w:type="dxa" w:w="80"/>
              <w:right w:type="dxa" w:w="100"/>
            </w:tcMar>
          </w:tcPr>
          <w:p>
            <w:pPr>
              <w:jc w:val="center"/>
            </w:pPr>
            <w:r>
              <w:rPr>
                <w:b w:val="false"/>
                <w:bCs w:val="false"/>
                <w:color w:val="000000"/>
                <w:sz w:val="20"/>
                <w:szCs w:val="20"/>
              </w:rPr>
              <w:t xml:space="preserve">44.37</w:t>
            </w:r>
          </w:p>
        </w:tc>
        <w:tc>
          <w:tcPr>
            <w:tcW w:type="dxa" w:w="1000"/>
            <w:shd w:fill="F2F2F2" w:val="clear"/>
            <w:tcMar>
              <w:top w:type="dxa" w:w="80"/>
              <w:left w:type="dxa" w:w="100"/>
              <w:bottom w:type="dxa" w:w="80"/>
              <w:right w:type="dxa" w:w="100"/>
            </w:tcMar>
          </w:tcPr>
          <w:p>
            <w:pPr>
              <w:jc w:val="center"/>
            </w:pPr>
            <w:r>
              <w:rPr>
                <w:b w:val="false"/>
                <w:bCs w:val="false"/>
                <w:color w:val="000000"/>
                <w:sz w:val="20"/>
                <w:szCs w:val="20"/>
              </w:rPr>
              <w:t xml:space="preserve">+6.34</w:t>
            </w:r>
          </w:p>
        </w:tc>
      </w:tr>
    </w:tbl>
    <w:p>
      <w:pPr>
        <w:spacing w:after="220" w:before="60"/>
      </w:pPr>
      <w:r>
        <w:rPr>
          <w:i/>
          <w:iCs/>
          <w:color w:val="555555"/>
          <w:sz w:val="20"/>
          <w:szCs w:val="20"/>
        </w:rPr>
        <w:t xml:space="preserve">Table 7. Improvement from target-language oversampling, by direction.</w:t>
      </w:r>
    </w:p>
    <w:p>
      <w:pPr>
        <w:spacing w:after="160" w:line="276"/>
      </w:pPr>
      <w:r>
        <w:t xml:space="preserve">Oversampling produced a clear, direction-selective improvement: the two directions deliberately oversampled — English → Ekegusii and Kiswahili → Ekegusii — improved the most (+13.3 and +13.0 BLEU respectively), which is exactly the intended effect of biasing training toward Ekegusii generation. The two directions left untouched also improved (+7.8 and +6.2 BLEU), most plausibly because continuing training for 10 further epochs on a better-conditioned guz_Latn embedding improved the model's overall handling of Ekegusii as a language, benefiting Ekegusii-as-source directions as a side effect.</w:t>
      </w:r>
    </w:p>
    <w:p>
      <w:pPr>
        <w:spacing w:after="160" w:line="276"/>
      </w:pPr>
      <w:r>
        <w:t xml:space="preserve">The original directional asymmetry also largely closed. At baseline, the gap between the strongest and weakest direction was 8.17 BLEU (Ekegusii → Kiswahili at 11.00 vs. Kiswahili → Ekegusii at 2.83). After the corrected oversampling run, that gap narrowed to 1.35 BLEU, with all four directions sitting within a 15.8–17.2 BLEU band. On chrF, Kiswahili → Ekegusii (48.12) became the single strongest direction — a full reversal from its position as the weakest direction at baseline.</w:t>
      </w:r>
    </w:p>
    <w:p>
      <w:pPr>
        <w:pStyle w:val="Heading2"/>
        <w:spacing w:after="120" w:before="260"/>
      </w:pPr>
      <w:r>
        <w:t xml:space="preserve">4.4 Qualitative Review of the Improved Model</w:t>
      </w:r>
    </w:p>
    <w:p>
      <w:pPr>
        <w:spacing w:after="160" w:line="276"/>
      </w:pPr>
      <w:r>
        <w:t xml:space="preserve">A manual review of 20 held-out examples (5 per direction) supported the metric-level findings:</w:t>
      </w:r>
    </w:p>
    <w:p>
      <w:pPr>
        <w:pStyle w:val="ListParagraph"/>
        <w:numPr>
          <w:ilvl w:val="0"/>
          <w:numId w:val="2"/>
        </w:numPr>
        <w:spacing w:after="80"/>
      </w:pPr>
      <w:r>
        <w:t xml:space="preserve">Target-language confusion is resolved. Every reviewed example now generates output in the correct target language; the earlier failure mode of producing English or Kiswahili text when Ekegusii was requested was not observed in this sample.</w:t>
      </w:r>
    </w:p>
    <w:p>
      <w:pPr>
        <w:pStyle w:val="ListParagraph"/>
        <w:numPr>
          <w:ilvl w:val="0"/>
          <w:numId w:val="2"/>
        </w:numPr>
        <w:spacing w:after="80"/>
      </w:pPr>
      <w:r>
        <w:t xml:space="preserve">Semantic accuracy improved beyond fluency. Several examples that had shown factual drift under the baseline model (e.g. incorrect safety details in a flood-related PSA) were much closer to the reference under the improved model.</w:t>
      </w:r>
    </w:p>
    <w:p>
      <w:pPr>
        <w:pStyle w:val="ListParagraph"/>
        <w:numPr>
          <w:ilvl w:val="0"/>
          <w:numId w:val="2"/>
        </w:numPr>
        <w:spacing w:after="80"/>
      </w:pPr>
      <w:r>
        <w:t xml:space="preserve">Some factual drift persists. At least one example (a COVID-19 PSA aimed at informal traders) still substituted an incorrect but topically related detail for the reference's specific detail, indicating this failure mode is reduced but not eliminated.</w:t>
      </w:r>
    </w:p>
    <w:p>
      <w:pPr>
        <w:pStyle w:val="ListParagraph"/>
        <w:numPr>
          <w:ilvl w:val="0"/>
          <w:numId w:val="2"/>
        </w:numPr>
        <w:spacing w:after="80"/>
      </w:pPr>
      <w:r>
        <w:t xml:space="preserve">A new minor artifact — short repetition loops — appeared on at least one longer, more complex Kiswahili → Ekegusii sentence, a known behaviour of beam-search decoding rather than something specific to Ekegusii.</w:t>
      </w:r>
    </w:p>
    <w:p>
      <w:pPr>
        <w:pStyle w:val="Heading1"/>
        <w:spacing w:after="160" w:before="320"/>
      </w:pPr>
      <w:r>
        <w:t xml:space="preserve">5. Discussion</w:t>
      </w:r>
    </w:p>
    <w:p>
      <w:pPr>
        <w:spacing w:after="160" w:line="276"/>
      </w:pPr>
      <w:r>
        <w:t xml:space="preserve">Two findings stand out. First, the consistent asymmetry between translating from Ekegusii and translating into Ekegusii, observed at baseline and only partly explained by data volume, points to target-side generation — not source-side comprehension — as the harder half of adapting NLLB to an unseen language. This matches the intuition that a newly added language token starts with no pretrained decoder behaviour, whereas the encoder can lean on cross-lingual representations learned for related and unrelated languages alike during pretraining.</w:t>
      </w:r>
    </w:p>
    <w:p>
      <w:pPr>
        <w:spacing w:after="160" w:line="276"/>
      </w:pPr>
      <w:r>
        <w:t xml:space="preserve">Second, the fact that Kiswahili → Ekegusii was the weakest baseline direction, despite Kiswahili and Ekegusii being typologically related Bantu languages, suggests that shared language family is not a substitute for target-side training signal. Once training was rebalanced toward Ekegusii generation, however, Kiswahili → Ekegusii became the strongest direction by chrF — consistent with the Bantu relatedness mattering once the model has enough exposure to produce Ekegusii at all.</w:t>
      </w:r>
    </w:p>
    <w:p>
      <w:pPr>
        <w:spacing w:after="160" w:line="276"/>
      </w:pPr>
      <w:r>
        <w:t xml:space="preserve">Target-language oversampling — a data-distribution change requiring no new annotation — combined with continued fine-tuning was an effective and low-cost intervention, roughly tripling to sextupling BLEU scores in the two targeted directions and meaningfully improving the two untargeted directions as a side effect.</w:t>
      </w:r>
    </w:p>
    <w:p>
      <w:pPr>
        <w:pStyle w:val="Heading1"/>
        <w:spacing w:after="160" w:before="320"/>
      </w:pPr>
      <w:r>
        <w:t xml:space="preserve">6. Limitations</w:t>
      </w:r>
    </w:p>
    <w:p>
      <w:pPr>
        <w:pStyle w:val="ListParagraph"/>
        <w:numPr>
          <w:ilvl w:val="0"/>
          <w:numId w:val="2"/>
        </w:numPr>
        <w:spacing w:after="80"/>
      </w:pPr>
      <w:r>
        <w:t xml:space="preserve">Ekegusii was not part of NLLB-200's original pretraining; all Ekegusii-specific knowledge had to be learned from a comparatively small fine-tuning set, unlike English and Kiswahili, which benefit from large-scale multilingual pretraining.</w:t>
      </w:r>
    </w:p>
    <w:p>
      <w:pPr>
        <w:pStyle w:val="ListParagraph"/>
        <w:numPr>
          <w:ilvl w:val="0"/>
          <w:numId w:val="2"/>
        </w:numPr>
        <w:spacing w:after="80"/>
      </w:pPr>
      <w:r>
        <w:t xml:space="preserve">The underlying parallel corpus is small by NMT standards — 5,126 aligned sentence triples before expansion — which constrains how much vocabulary, morphology, and sentence structure the model can learn, particularly for target-side Ekegusii generation.</w:t>
      </w:r>
    </w:p>
    <w:p>
      <w:pPr>
        <w:pStyle w:val="ListParagraph"/>
        <w:numPr>
          <w:ilvl w:val="0"/>
          <w:numId w:val="2"/>
        </w:numPr>
        <w:spacing w:after="80"/>
      </w:pPr>
      <w:r>
        <w:t xml:space="preserve">The dataset is domain-specific (Public Service Announcements), so reported scores may not generalize to conversational, literary, or other text domains without further fine-tuning or evaluation.</w:t>
      </w:r>
    </w:p>
    <w:p>
      <w:pPr>
        <w:pStyle w:val="ListParagraph"/>
        <w:numPr>
          <w:ilvl w:val="0"/>
          <w:numId w:val="2"/>
        </w:numPr>
        <w:spacing w:after="80"/>
      </w:pPr>
      <w:r>
        <w:t xml:space="preserve">Automatic metrics (BLEU, chrF) do not fully capture translation adequacy; qualitative review found residual factual drift on some examples even in the improved model, which BLEU/chrF alone would not surface.</w:t>
      </w:r>
    </w:p>
    <w:p>
      <w:pPr>
        <w:pStyle w:val="ListParagraph"/>
        <w:numPr>
          <w:ilvl w:val="0"/>
          <w:numId w:val="2"/>
        </w:numPr>
        <w:spacing w:after="80"/>
      </w:pPr>
      <w:r>
        <w:t xml:space="preserve">A repetition-loop artifact was observed on at least one longer or syntactically complex sentence in the improved model, a known limitation of beam-search decoding that was only partially mitigated by repetition-penalty settings.</w:t>
      </w:r>
    </w:p>
    <w:p>
      <w:pPr>
        <w:pStyle w:val="ListParagraph"/>
        <w:numPr>
          <w:ilvl w:val="0"/>
          <w:numId w:val="2"/>
        </w:numPr>
        <w:spacing w:after="80"/>
      </w:pPr>
      <w:r>
        <w:t xml:space="preserve">The oversampling experiment duplicated existing examples rather than introducing new Ekegusii data; gains reflect better use of existing signal rather than an increase in underlying linguistic coverage.</w:t>
      </w:r>
    </w:p>
    <w:p>
      <w:pPr>
        <w:pStyle w:val="ListParagraph"/>
        <w:numPr>
          <w:ilvl w:val="0"/>
          <w:numId w:val="2"/>
        </w:numPr>
        <w:spacing w:after="80"/>
      </w:pPr>
      <w:r>
        <w:t xml:space="preserve">Compute constraints (Kaggle GPU limits, storage limits that caused checkpoint-saving failures during the baseline run) shaped some of the training choices, such as small batch sizes with gradient accumulation and limited checkpoint retention.</w:t>
      </w:r>
    </w:p>
    <w:p>
      <w:pPr>
        <w:pStyle w:val="Heading1"/>
        <w:spacing w:after="160" w:before="320"/>
      </w:pPr>
      <w:r>
        <w:t xml:space="preserve">7. Conclusions</w:t>
      </w:r>
    </w:p>
    <w:p>
      <w:pPr>
        <w:spacing w:after="160" w:line="276"/>
      </w:pPr>
      <w:r>
        <w:t xml:space="preserve">This stage of the project successfully demonstrated that a pretrained multilingual NMT model (NLLB-200) can be adapted to a language entirely absent from its original training data, using only token-level vocabulary extension and fine-tuning on a modest parallel corpus. The baseline model established bidirectional translation between English, Kiswahili, and Ekegusii, but with a clear weakness in generating Ekegusii text rather than understanding it.</w:t>
      </w:r>
    </w:p>
    <w:p>
      <w:pPr>
        <w:spacing w:after="160" w:line="276"/>
      </w:pPr>
      <w:r>
        <w:t xml:space="preserve">Diagnosing that asymmetry and addressing it with target-language oversampling produced large, direction-selective gains: BLEU roughly tripled to sextupled for English → Ekegusii and Kiswahili → Ekegusii, chrF improved by 6–25 points across all four directions, and the original 8.17-BLEU gap between the strongest and weakest direction narrowed to 1.35 BLEU. Qualitative review confirmed that these gains reflect genuine improvements in target-language fidelity and semantic accuracy, not just metric artifacts.</w:t>
      </w:r>
    </w:p>
    <w:p>
      <w:pPr>
        <w:spacing w:after="160" w:line="276"/>
      </w:pPr>
      <w:r>
        <w:t xml:space="preserve">The resulting improved model represents a substantially stronger and more balanced Ekegusii translation system than the baseline, and provides a working proof of concept for extending NLLB to additional unsupported low-resource languages within the wider multilingual PSA translation project.</w:t>
      </w:r>
    </w:p>
    <w:p>
      <w:pPr>
        <w:pStyle w:val="Heading1"/>
        <w:spacing w:after="160" w:before="320"/>
      </w:pPr>
      <w:r>
        <w:t xml:space="preserve">8. Future Work</w:t>
      </w:r>
    </w:p>
    <w:p>
      <w:pPr>
        <w:pStyle w:val="ListParagraph"/>
        <w:numPr>
          <w:ilvl w:val="0"/>
          <w:numId w:val="2"/>
        </w:numPr>
        <w:spacing w:after="80"/>
      </w:pPr>
      <w:r>
        <w:t xml:space="preserve">Expand the Ekegusii parallel corpus, particularly with additional target-side Ekegusii sentences, to further strengthen generation quality.</w:t>
      </w:r>
    </w:p>
    <w:p>
      <w:pPr>
        <w:pStyle w:val="ListParagraph"/>
        <w:numPr>
          <w:ilvl w:val="0"/>
          <w:numId w:val="2"/>
        </w:numPr>
        <w:spacing w:after="80"/>
      </w:pPr>
      <w:r>
        <w:t xml:space="preserve">Extend evaluation beyond BLEU/chrF with human/native-speaker adequacy and fluency ratings, given the residual factual-drift failures automatic metrics do not fully capture.</w:t>
      </w:r>
    </w:p>
    <w:p>
      <w:pPr>
        <w:pStyle w:val="ListParagraph"/>
        <w:numPr>
          <w:ilvl w:val="0"/>
          <w:numId w:val="2"/>
        </w:numPr>
        <w:spacing w:after="80"/>
      </w:pPr>
      <w:r>
        <w:t xml:space="preserve">Investigate decoding-side fixes (e.g. tuned repetition penalties, sampling strategies) to address the repetition-loop artifact seen on longer sentences.</w:t>
      </w:r>
    </w:p>
    <w:p>
      <w:pPr>
        <w:pStyle w:val="ListParagraph"/>
        <w:numPr>
          <w:ilvl w:val="0"/>
          <w:numId w:val="2"/>
        </w:numPr>
        <w:spacing w:after="80"/>
      </w:pPr>
      <w:r>
        <w:t xml:space="preserve">Evaluate generalization to non-PSA domains to determine whether the model's gains are domain-specific.</w:t>
      </w:r>
    </w:p>
    <w:p>
      <w:pPr>
        <w:pStyle w:val="ListParagraph"/>
        <w:numPr>
          <w:ilvl w:val="0"/>
          <w:numId w:val="2"/>
        </w:numPr>
        <w:spacing w:after="80"/>
      </w:pPr>
      <w:r>
        <w:t xml:space="preserve">Compare against alternative adaptation strategies (e.g. adapter layers, larger NLLB checkpoints) to see whether further gains are possible beyond full fine-tuning of the distilled 600M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2026-08-07T13:49:42.612Z</dcterms:created>
  <dcterms:modified xsi:type="dcterms:W3CDTF">2026-08-07T13:49:42.628Z</dcterms:modified>
</cp:coreProperties>
</file>

<file path=docProps/custom.xml><?xml version="1.0" encoding="utf-8"?>
<Properties xmlns="http://schemas.openxmlformats.org/officeDocument/2006/custom-properties" xmlns:vt="http://schemas.openxmlformats.org/officeDocument/2006/docPropsVTypes"/>
</file>