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B4C"/>
          <w:sz w:val="40"/>
          <w:szCs w:val="40"/>
        </w:rPr>
        <w:t xml:space="preserve">PSA Machine Translation Project</w:t>
      </w:r>
    </w:p>
    <w:p>
      <w:pPr>
        <w:spacing w:after="260"/>
      </w:pPr>
      <w:r>
        <w:rPr>
          <w:color w:val="595959"/>
          <w:sz w:val="26"/>
          <w:szCs w:val="26"/>
        </w:rPr>
        <w:t xml:space="preserve">Week 1 Plan — Who Does What</w:t>
      </w:r>
    </w:p>
    <w:p>
      <w:pPr>
        <w:pBdr>
          <w:bottom w:val="single" w:color="2E5B4C" w:sz="6" w:space="1"/>
        </w:pBdr>
        <w:spacing w:after="240"/>
      </w:pPr>
      <w:r>
        <w:t xml:space="preserve"/>
      </w:r>
    </w:p>
    <w:p>
      <w:pPr>
        <w:pStyle w:val="Heading1"/>
        <w:spacing w:after="160" w:before="320"/>
      </w:pPr>
      <w:r>
        <w:rPr>
          <w:b/>
          <w:bCs/>
          <w:color w:val="2E5B4C"/>
        </w:rPr>
        <w:t xml:space="preserve">Where we're starting from</w:t>
      </w:r>
    </w:p>
    <w:p>
      <w:pPr>
        <w:spacing w:after="160"/>
      </w:pPr>
      <w:r>
        <w:t xml:space="preserve">We already have a spreadsheet with 2,903 real PSA messages, each one written in English, Kiswahili, Ekegusii, Dholuo, and Somali. That's a strong head start.</w:t>
      </w:r>
    </w:p>
    <w:p>
      <w:pPr>
        <w:spacing w:after="160"/>
      </w:pPr>
      <w:r>
        <w:t xml:space="preserve">To keep things manageable, we're focusing on just one target language for now: Dholuo. We chose it as a team because we have someone who speaks it (or has easy access to a speaker) who can help us check translations quickly and correctly. We'll keep the Ekegusii and Somali columns in our spreadsheet exactly as they are, and come back to grow them later if we have extra time. This is a deliberate scope decision, not something we're skipping by accident.</w:t>
      </w:r>
    </w:p>
    <w:p>
      <w:pPr>
        <w:pStyle w:val="Heading1"/>
        <w:spacing w:after="160" w:before="320"/>
      </w:pPr>
      <w:r>
        <w:rPr>
          <w:b/>
          <w:bCs/>
          <w:color w:val="2E5B4C"/>
        </w:rPr>
        <w:t xml:space="preserve">What still needs to happen this week</w:t>
      </w:r>
    </w:p>
    <w:p>
      <w:pPr>
        <w:pStyle w:val="ListParagraph"/>
        <w:numPr>
          <w:ilvl w:val="0"/>
          <w:numId w:val="2"/>
        </w:numPr>
        <w:spacing w:after="80"/>
      </w:pPr>
      <w:r>
        <w:t xml:space="preserve">Confirm Dholuo as our one focus language for now (already decided by the team).</w:t>
      </w:r>
    </w:p>
    <w:p>
      <w:pPr>
        <w:pStyle w:val="ListParagraph"/>
        <w:numPr>
          <w:ilvl w:val="0"/>
          <w:numId w:val="2"/>
        </w:numPr>
        <w:spacing w:after="80"/>
      </w:pPr>
      <w:r>
        <w:t xml:space="preserve">Collect roughly 2,100 more English/Kiswahili → Dholuo message pairs, spread across our five topics (Health, Agriculture, Education, Security &amp; Safety, Governance), to reach 5,000 total for Dholuo.</w:t>
      </w:r>
    </w:p>
    <w:p>
      <w:pPr>
        <w:pStyle w:val="ListParagraph"/>
        <w:numPr>
          <w:ilvl w:val="0"/>
          <w:numId w:val="2"/>
        </w:numPr>
        <w:spacing w:after="80"/>
      </w:pPr>
      <w:r>
        <w:t xml:space="preserve">Add a few missing details to the spreadsheet: where each message came from, the date, and which topic/sub-topic it belongs to.</w:t>
      </w:r>
    </w:p>
    <w:p>
      <w:pPr>
        <w:pStyle w:val="ListParagraph"/>
        <w:numPr>
          <w:ilvl w:val="0"/>
          <w:numId w:val="2"/>
        </w:numPr>
        <w:spacing w:after="80"/>
      </w:pPr>
      <w:r>
        <w:t xml:space="preserve">Fix a small number of duplicate entries and fill in the handful of missing translations for Dholuo.</w:t>
      </w:r>
    </w:p>
    <w:p>
      <w:pPr>
        <w:pStyle w:val="ListParagraph"/>
        <w:numPr>
          <w:ilvl w:val="0"/>
          <w:numId w:val="2"/>
        </w:numPr>
        <w:spacing w:after="80"/>
      </w:pPr>
      <w:r>
        <w:t xml:space="preserve">Write down at least 10 trustworthy places we're allowed to collect messages from.</w:t>
      </w:r>
    </w:p>
    <w:p>
      <w:pPr>
        <w:pStyle w:val="ListParagraph"/>
        <w:numPr>
          <w:ilvl w:val="0"/>
          <w:numId w:val="2"/>
        </w:numPr>
        <w:spacing w:after="80"/>
      </w:pPr>
      <w:r>
        <w:t xml:space="preserve">Submit a short report at the end of the week showing what we collected and any problems we ran into.</w:t>
      </w:r>
    </w:p>
    <w:p>
      <w:pPr>
        <w:pStyle w:val="Heading1"/>
        <w:spacing w:after="160" w:before="320"/>
      </w:pPr>
      <w:r>
        <w:rPr>
          <w:b/>
          <w:bCs/>
          <w:color w:val="2E5B4C"/>
        </w:rPr>
        <w:t xml:space="preserve">Who is doing what</w:t>
      </w:r>
    </w:p>
    <w:p>
      <w:pPr>
        <w:spacing w:after="160"/>
      </w:pPr>
      <w:r>
        <w:t xml:space="preserve">Everyone's role is written in plain language below — no need for technical background to understand what's expected. Roles can rotate in later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040"/>
      </w:tblGrid>
      <w:tr>
        <w:trPr>
          <w:tblHeader/>
        </w:trPr>
        <w:tc>
          <w:tcPr>
            <w:tcW w:type="dxa" w:w="1500"/>
            <w:shd w:fill="2E5B4C" w:val="clear"/>
            <w:tcMar>
              <w:top w:type="dxa" w:w="100"/>
              <w:left w:type="dxa" w:w="120"/>
              <w:bottom w:type="dxa" w:w="100"/>
              <w:right w:type="dxa" w:w="120"/>
            </w:tcMar>
          </w:tcPr>
          <w:p>
            <w:r>
              <w:rPr>
                <w:b/>
                <w:bCs/>
                <w:color w:val="FFFFFF"/>
                <w:sz w:val="21"/>
                <w:szCs w:val="21"/>
              </w:rPr>
              <w:t xml:space="preserve">Team member</w:t>
            </w:r>
          </w:p>
        </w:tc>
        <w:tc>
          <w:tcPr>
            <w:tcW w:type="dxa" w:w="2400"/>
            <w:shd w:fill="2E5B4C" w:val="clear"/>
            <w:tcMar>
              <w:top w:type="dxa" w:w="100"/>
              <w:left w:type="dxa" w:w="120"/>
              <w:bottom w:type="dxa" w:w="100"/>
              <w:right w:type="dxa" w:w="120"/>
            </w:tcMar>
          </w:tcPr>
          <w:p>
            <w:r>
              <w:rPr>
                <w:b/>
                <w:bCs/>
                <w:color w:val="FFFFFF"/>
                <w:sz w:val="21"/>
                <w:szCs w:val="21"/>
              </w:rPr>
              <w:t xml:space="preserve">Their job title</w:t>
            </w:r>
          </w:p>
        </w:tc>
        <w:tc>
          <w:tcPr>
            <w:tcW w:type="dxa" w:w="5040"/>
            <w:shd w:fill="2E5B4C" w:val="clear"/>
            <w:tcMar>
              <w:top w:type="dxa" w:w="100"/>
              <w:left w:type="dxa" w:w="120"/>
              <w:bottom w:type="dxa" w:w="100"/>
              <w:right w:type="dxa" w:w="120"/>
            </w:tcMar>
          </w:tcPr>
          <w:p>
            <w:r>
              <w:rPr>
                <w:b/>
                <w:bCs/>
                <w:color w:val="FFFFFF"/>
                <w:sz w:val="21"/>
                <w:szCs w:val="21"/>
              </w:rPr>
              <w:t xml:space="preserve">What they actually do this week</w:t>
            </w:r>
          </w:p>
        </w:tc>
      </w:tr>
      <w:tr>
        <w:tc>
          <w:tcPr>
            <w:tcW w:type="dxa" w:w="1500"/>
            <w:shd w:fill="FFFFFF" w:val="clear"/>
            <w:tcMar>
              <w:top w:type="dxa" w:w="100"/>
              <w:left w:type="dxa" w:w="120"/>
              <w:bottom w:type="dxa" w:w="100"/>
              <w:right w:type="dxa" w:w="120"/>
            </w:tcMar>
          </w:tcPr>
          <w:p>
            <w:r>
              <w:rPr>
                <w:b w:val="false"/>
                <w:bCs w:val="false"/>
                <w:color w:val="000000"/>
                <w:sz w:val="20"/>
                <w:szCs w:val="20"/>
              </w:rPr>
              <w:t xml:space="preserve">Person 1</w:t>
            </w:r>
          </w:p>
        </w:tc>
        <w:tc>
          <w:tcPr>
            <w:tcW w:type="dxa" w:w="2400"/>
            <w:shd w:fill="FFFFFF" w:val="clear"/>
            <w:tcMar>
              <w:top w:type="dxa" w:w="100"/>
              <w:left w:type="dxa" w:w="120"/>
              <w:bottom w:type="dxa" w:w="100"/>
              <w:right w:type="dxa" w:w="120"/>
            </w:tcMar>
          </w:tcPr>
          <w:p>
            <w:r>
              <w:rPr>
                <w:b/>
                <w:bCs/>
                <w:color w:val="000000"/>
                <w:sz w:val="20"/>
                <w:szCs w:val="20"/>
              </w:rPr>
              <w:t xml:space="preserve">Finds where the data comes from</w:t>
            </w:r>
          </w:p>
        </w:tc>
        <w:tc>
          <w:tcPr>
            <w:tcW w:type="dxa" w:w="5040"/>
            <w:shd w:fill="FFFFFF" w:val="clear"/>
            <w:tcMar>
              <w:top w:type="dxa" w:w="100"/>
              <w:left w:type="dxa" w:w="120"/>
              <w:bottom w:type="dxa" w:w="100"/>
              <w:right w:type="dxa" w:w="120"/>
            </w:tcMar>
          </w:tcPr>
          <w:p>
            <w:pPr>
              <w:spacing w:after="60"/>
            </w:pPr>
            <w:r>
              <w:rPr>
                <w:b w:val="false"/>
                <w:bCs w:val="false"/>
                <w:color w:val="000000"/>
                <w:sz w:val="20"/>
                <w:szCs w:val="20"/>
              </w:rPr>
              <w:t xml:space="preserve">Looks for at least 10 good places to get real PSA messages: government websites, Ministry of Health, IEBC, NGOs, and official Twitter/X pages.</w:t>
            </w:r>
          </w:p>
          <w:p>
            <w:pPr>
              <w:spacing w:after="0"/>
            </w:pPr>
            <w:r>
              <w:rPr>
                <w:b w:val="false"/>
                <w:bCs w:val="false"/>
                <w:color w:val="000000"/>
                <w:sz w:val="20"/>
                <w:szCs w:val="20"/>
              </w:rPr>
              <w:t xml:space="preserve">Writes down each source's web address, what kind of messages it has, and whether we're allowed to collect from it.</w:t>
            </w:r>
          </w:p>
        </w:tc>
      </w:tr>
      <w:tr>
        <w:tc>
          <w:tcPr>
            <w:tcW w:type="dxa" w:w="1500"/>
            <w:shd w:fill="E9F0EC" w:val="clear"/>
            <w:tcMar>
              <w:top w:type="dxa" w:w="100"/>
              <w:left w:type="dxa" w:w="120"/>
              <w:bottom w:type="dxa" w:w="100"/>
              <w:right w:type="dxa" w:w="120"/>
            </w:tcMar>
          </w:tcPr>
          <w:p>
            <w:r>
              <w:rPr>
                <w:b w:val="false"/>
                <w:bCs w:val="false"/>
                <w:color w:val="000000"/>
                <w:sz w:val="20"/>
                <w:szCs w:val="20"/>
              </w:rPr>
              <w:t xml:space="preserve">Person 2</w:t>
            </w:r>
          </w:p>
        </w:tc>
        <w:tc>
          <w:tcPr>
            <w:tcW w:type="dxa" w:w="2400"/>
            <w:shd w:fill="E9F0EC" w:val="clear"/>
            <w:tcMar>
              <w:top w:type="dxa" w:w="100"/>
              <w:left w:type="dxa" w:w="120"/>
              <w:bottom w:type="dxa" w:w="100"/>
              <w:right w:type="dxa" w:w="120"/>
            </w:tcMar>
          </w:tcPr>
          <w:p>
            <w:r>
              <w:rPr>
                <w:b/>
                <w:bCs/>
                <w:color w:val="000000"/>
                <w:sz w:val="20"/>
                <w:szCs w:val="20"/>
              </w:rPr>
              <w:t xml:space="preserve">Collects the messages</w:t>
            </w:r>
          </w:p>
        </w:tc>
        <w:tc>
          <w:tcPr>
            <w:tcW w:type="dxa" w:w="5040"/>
            <w:shd w:fill="E9F0EC" w:val="clear"/>
            <w:tcMar>
              <w:top w:type="dxa" w:w="100"/>
              <w:left w:type="dxa" w:w="120"/>
              <w:bottom w:type="dxa" w:w="100"/>
              <w:right w:type="dxa" w:w="120"/>
            </w:tcMar>
          </w:tcPr>
          <w:p>
            <w:pPr>
              <w:spacing w:after="60"/>
            </w:pPr>
            <w:r>
              <w:rPr>
                <w:b w:val="false"/>
                <w:bCs w:val="false"/>
                <w:color w:val="000000"/>
                <w:sz w:val="20"/>
                <w:szCs w:val="20"/>
              </w:rPr>
              <w:t xml:space="preserve">Builds the tool that pulls PSA text from the websites Person 1 found (part by hand, part automatic), in English/Kiswahili plus Dholuo.</w:t>
            </w:r>
          </w:p>
          <w:p>
            <w:pPr>
              <w:spacing w:after="60"/>
            </w:pPr>
            <w:r>
              <w:rPr>
                <w:b w:val="false"/>
                <w:bCs w:val="false"/>
                <w:color w:val="000000"/>
                <w:sz w:val="20"/>
                <w:szCs w:val="20"/>
              </w:rPr>
              <w:t xml:space="preserve">Focuses on Health and Agriculture first, since we have the fewest examples there.</w:t>
            </w:r>
          </w:p>
          <w:p>
            <w:pPr>
              <w:spacing w:after="0"/>
            </w:pPr>
            <w:r>
              <w:rPr>
                <w:b w:val="false"/>
                <w:bCs w:val="false"/>
                <w:color w:val="000000"/>
                <w:sz w:val="20"/>
                <w:szCs w:val="20"/>
              </w:rPr>
              <w:t xml:space="preserve">Is careful to follow each website's rules and not overload their servers.</w:t>
            </w:r>
          </w:p>
        </w:tc>
      </w:tr>
      <w:tr>
        <w:tc>
          <w:tcPr>
            <w:tcW w:type="dxa" w:w="1500"/>
            <w:shd w:fill="FFFFFF" w:val="clear"/>
            <w:tcMar>
              <w:top w:type="dxa" w:w="100"/>
              <w:left w:type="dxa" w:w="120"/>
              <w:bottom w:type="dxa" w:w="100"/>
              <w:right w:type="dxa" w:w="120"/>
            </w:tcMar>
          </w:tcPr>
          <w:p>
            <w:r>
              <w:rPr>
                <w:b w:val="false"/>
                <w:bCs w:val="false"/>
                <w:color w:val="000000"/>
                <w:sz w:val="20"/>
                <w:szCs w:val="20"/>
              </w:rPr>
              <w:t xml:space="preserve">Person 3</w:t>
            </w:r>
          </w:p>
        </w:tc>
        <w:tc>
          <w:tcPr>
            <w:tcW w:type="dxa" w:w="2400"/>
            <w:shd w:fill="FFFFFF" w:val="clear"/>
            <w:tcMar>
              <w:top w:type="dxa" w:w="100"/>
              <w:left w:type="dxa" w:w="120"/>
              <w:bottom w:type="dxa" w:w="100"/>
              <w:right w:type="dxa" w:w="120"/>
            </w:tcMar>
          </w:tcPr>
          <w:p>
            <w:r>
              <w:rPr>
                <w:b/>
                <w:bCs/>
                <w:color w:val="000000"/>
                <w:sz w:val="20"/>
                <w:szCs w:val="20"/>
              </w:rPr>
              <w:t xml:space="preserve">Organizes the spreadsheet</w:t>
            </w:r>
          </w:p>
        </w:tc>
        <w:tc>
          <w:tcPr>
            <w:tcW w:type="dxa" w:w="5040"/>
            <w:shd w:fill="FFFFFF" w:val="clear"/>
            <w:tcMar>
              <w:top w:type="dxa" w:w="100"/>
              <w:left w:type="dxa" w:w="120"/>
              <w:bottom w:type="dxa" w:w="100"/>
              <w:right w:type="dxa" w:w="120"/>
            </w:tcMar>
          </w:tcPr>
          <w:p>
            <w:pPr>
              <w:spacing w:after="60"/>
            </w:pPr>
            <w:r>
              <w:rPr>
                <w:b w:val="false"/>
                <w:bCs w:val="false"/>
                <w:color w:val="000000"/>
                <w:sz w:val="20"/>
                <w:szCs w:val="20"/>
              </w:rPr>
              <w:t xml:space="preserve">Owns the master spreadsheet. Adds new columns for where each message came from, the date, and what topic it belongs to.</w:t>
            </w:r>
          </w:p>
          <w:p>
            <w:pPr>
              <w:spacing w:after="60"/>
            </w:pPr>
            <w:r>
              <w:rPr>
                <w:b w:val="false"/>
                <w:bCs w:val="false"/>
                <w:color w:val="000000"/>
                <w:sz w:val="20"/>
                <w:szCs w:val="20"/>
              </w:rPr>
              <w:t xml:space="preserve">Combines the newly collected messages with what we already have, in one clean, consistent format.</w:t>
            </w:r>
          </w:p>
          <w:p>
            <w:pPr>
              <w:spacing w:after="60"/>
            </w:pPr>
            <w:r>
              <w:rPr>
                <w:b w:val="false"/>
                <w:bCs w:val="false"/>
                <w:color w:val="000000"/>
                <w:sz w:val="20"/>
                <w:szCs w:val="20"/>
              </w:rPr>
              <w:t xml:space="preserve">Removes repeated entries and checks that each message is actually in the language it claims to be.</w:t>
            </w:r>
          </w:p>
          <w:p>
            <w:pPr>
              <w:spacing w:after="0"/>
            </w:pPr>
            <w:r>
              <w:rPr>
                <w:b w:val="false"/>
                <w:bCs w:val="false"/>
                <w:color w:val="000000"/>
                <w:sz w:val="20"/>
                <w:szCs w:val="20"/>
              </w:rPr>
              <w:t xml:space="preserve">Keeps Ekegusii and Somali safe and untouched for later, so we can pick them back up if we get extra time.</w:t>
            </w:r>
          </w:p>
        </w:tc>
      </w:tr>
      <w:tr>
        <w:tc>
          <w:tcPr>
            <w:tcW w:type="dxa" w:w="1500"/>
            <w:shd w:fill="E9F0EC" w:val="clear"/>
            <w:tcMar>
              <w:top w:type="dxa" w:w="100"/>
              <w:left w:type="dxa" w:w="120"/>
              <w:bottom w:type="dxa" w:w="100"/>
              <w:right w:type="dxa" w:w="120"/>
            </w:tcMar>
          </w:tcPr>
          <w:p>
            <w:r>
              <w:rPr>
                <w:b w:val="false"/>
                <w:bCs w:val="false"/>
                <w:color w:val="000000"/>
                <w:sz w:val="20"/>
                <w:szCs w:val="20"/>
              </w:rPr>
              <w:t xml:space="preserve">Person 4</w:t>
            </w:r>
          </w:p>
        </w:tc>
        <w:tc>
          <w:tcPr>
            <w:tcW w:type="dxa" w:w="2400"/>
            <w:shd w:fill="E9F0EC" w:val="clear"/>
            <w:tcMar>
              <w:top w:type="dxa" w:w="100"/>
              <w:left w:type="dxa" w:w="120"/>
              <w:bottom w:type="dxa" w:w="100"/>
              <w:right w:type="dxa" w:w="120"/>
            </w:tcMar>
          </w:tcPr>
          <w:p>
            <w:r>
              <w:rPr>
                <w:b/>
                <w:bCs/>
                <w:color w:val="000000"/>
                <w:sz w:val="20"/>
                <w:szCs w:val="20"/>
              </w:rPr>
              <w:t xml:space="preserve">Checks the Dholuo translations</w:t>
            </w:r>
          </w:p>
        </w:tc>
        <w:tc>
          <w:tcPr>
            <w:tcW w:type="dxa" w:w="5040"/>
            <w:shd w:fill="E9F0EC" w:val="clear"/>
            <w:tcMar>
              <w:top w:type="dxa" w:w="100"/>
              <w:left w:type="dxa" w:w="120"/>
              <w:bottom w:type="dxa" w:w="100"/>
              <w:right w:type="dxa" w:w="120"/>
            </w:tcMar>
          </w:tcPr>
          <w:p>
            <w:pPr>
              <w:spacing w:after="60"/>
            </w:pPr>
            <w:r>
              <w:rPr>
                <w:b w:val="false"/>
                <w:bCs w:val="false"/>
                <w:color w:val="000000"/>
                <w:sz w:val="20"/>
                <w:szCs w:val="20"/>
              </w:rPr>
              <w:t xml:space="preserve">Fills in the handful of translations that are currently missing for Dholuo.</w:t>
            </w:r>
          </w:p>
          <w:p>
            <w:pPr>
              <w:spacing w:after="0"/>
            </w:pPr>
            <w:r>
              <w:rPr>
                <w:b w:val="false"/>
                <w:bCs w:val="false"/>
                <w:color w:val="000000"/>
                <w:sz w:val="20"/>
                <w:szCs w:val="20"/>
              </w:rPr>
              <w:t xml:space="preserve">Reads through a sample of the existing translations in Dholuo to make sure they sound natural and correct — this is easiest if someone on the team already speaks it, or knows someone who does.</w:t>
            </w:r>
          </w:p>
        </w:tc>
      </w:tr>
      <w:tr>
        <w:tc>
          <w:tcPr>
            <w:tcW w:type="dxa" w:w="1500"/>
            <w:shd w:fill="FFFFFF" w:val="clear"/>
            <w:tcMar>
              <w:top w:type="dxa" w:w="100"/>
              <w:left w:type="dxa" w:w="120"/>
              <w:bottom w:type="dxa" w:w="100"/>
              <w:right w:type="dxa" w:w="120"/>
            </w:tcMar>
          </w:tcPr>
          <w:p>
            <w:r>
              <w:rPr>
                <w:b w:val="false"/>
                <w:bCs w:val="false"/>
                <w:color w:val="000000"/>
                <w:sz w:val="20"/>
                <w:szCs w:val="20"/>
              </w:rPr>
              <w:t xml:space="preserve">Person 5</w:t>
            </w:r>
          </w:p>
        </w:tc>
        <w:tc>
          <w:tcPr>
            <w:tcW w:type="dxa" w:w="2400"/>
            <w:shd w:fill="FFFFFF" w:val="clear"/>
            <w:tcMar>
              <w:top w:type="dxa" w:w="100"/>
              <w:left w:type="dxa" w:w="120"/>
              <w:bottom w:type="dxa" w:w="100"/>
              <w:right w:type="dxa" w:w="120"/>
            </w:tcMar>
          </w:tcPr>
          <w:p>
            <w:r>
              <w:rPr>
                <w:b/>
                <w:bCs/>
                <w:color w:val="000000"/>
                <w:sz w:val="20"/>
                <w:szCs w:val="20"/>
              </w:rPr>
              <w:t xml:space="preserve">Keeps everyone on track</w:t>
            </w:r>
          </w:p>
        </w:tc>
        <w:tc>
          <w:tcPr>
            <w:tcW w:type="dxa" w:w="5040"/>
            <w:shd w:fill="FFFFFF" w:val="clear"/>
            <w:tcMar>
              <w:top w:type="dxa" w:w="100"/>
              <w:left w:type="dxa" w:w="120"/>
              <w:bottom w:type="dxa" w:w="100"/>
              <w:right w:type="dxa" w:w="120"/>
            </w:tcMar>
          </w:tcPr>
          <w:p>
            <w:pPr>
              <w:spacing w:after="60"/>
            </w:pPr>
            <w:r>
              <w:rPr>
                <w:b w:val="false"/>
                <w:bCs w:val="false"/>
                <w:color w:val="000000"/>
                <w:sz w:val="20"/>
                <w:szCs w:val="20"/>
              </w:rPr>
              <w:t xml:space="preserve">Checks our progress toward the 5,000-message goal and flags it early if any topic is falling behind.</w:t>
            </w:r>
          </w:p>
          <w:p>
            <w:pPr>
              <w:spacing w:after="60"/>
            </w:pPr>
            <w:r>
              <w:rPr>
                <w:b w:val="false"/>
                <w:bCs w:val="false"/>
                <w:color w:val="000000"/>
                <w:sz w:val="20"/>
                <w:szCs w:val="20"/>
              </w:rPr>
              <w:t xml:space="preserve">Writes the short report due at the end of the week: what we collected, a few examples, and problems we ran into.</w:t>
            </w:r>
          </w:p>
          <w:p>
            <w:pPr>
              <w:spacing w:after="0"/>
            </w:pPr>
            <w:r>
              <w:rPr>
                <w:b w:val="false"/>
                <w:bCs w:val="false"/>
                <w:color w:val="000000"/>
                <w:sz w:val="20"/>
                <w:szCs w:val="20"/>
              </w:rPr>
              <w:t xml:space="preserve">Manages our shared GitHub folder and takes notes in our team meetings.</w:t>
            </w:r>
          </w:p>
        </w:tc>
      </w:tr>
    </w:tbl>
    <w:p>
      <w:pPr>
        <w:pStyle w:val="Heading1"/>
        <w:spacing w:after="160" w:before="320"/>
      </w:pPr>
      <w:r>
        <w:rPr>
          <w:b/>
          <w:bCs/>
          <w:color w:val="2E5B4C"/>
        </w:rPr>
        <w:t xml:space="preserve">Day-by-day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6740"/>
      </w:tblGrid>
      <w:tr>
        <w:trPr>
          <w:tblHeader/>
        </w:trPr>
        <w:tc>
          <w:tcPr>
            <w:tcW w:type="dxa" w:w="2200"/>
            <w:shd w:fill="2E5B4C" w:val="clear"/>
            <w:tcMar>
              <w:top w:type="dxa" w:w="100"/>
              <w:left w:type="dxa" w:w="120"/>
              <w:bottom w:type="dxa" w:w="100"/>
              <w:right w:type="dxa" w:w="120"/>
            </w:tcMar>
          </w:tcPr>
          <w:p>
            <w:r>
              <w:rPr>
                <w:b/>
                <w:bCs/>
                <w:color w:val="FFFFFF"/>
                <w:sz w:val="21"/>
                <w:szCs w:val="21"/>
              </w:rPr>
              <w:t xml:space="preserve">When</w:t>
            </w:r>
          </w:p>
        </w:tc>
        <w:tc>
          <w:tcPr>
            <w:tcW w:type="dxa" w:w="6740"/>
            <w:shd w:fill="2E5B4C" w:val="clear"/>
            <w:tcMar>
              <w:top w:type="dxa" w:w="100"/>
              <w:left w:type="dxa" w:w="120"/>
              <w:bottom w:type="dxa" w:w="100"/>
              <w:right w:type="dxa" w:w="120"/>
            </w:tcMar>
          </w:tcPr>
          <w:p>
            <w:r>
              <w:rPr>
                <w:b/>
                <w:bCs/>
                <w:color w:val="FFFFFF"/>
                <w:sz w:val="21"/>
                <w:szCs w:val="21"/>
              </w:rPr>
              <w:t xml:space="preserve">What happens</w:t>
            </w:r>
          </w:p>
        </w:tc>
      </w:tr>
      <w:tr>
        <w:tc>
          <w:tcPr>
            <w:tcW w:type="dxa" w:w="2200"/>
            <w:shd w:fill="FFFFFF" w:val="clear"/>
            <w:tcMar>
              <w:top w:type="dxa" w:w="100"/>
              <w:left w:type="dxa" w:w="120"/>
              <w:bottom w:type="dxa" w:w="100"/>
              <w:right w:type="dxa" w:w="120"/>
            </w:tcMar>
          </w:tcPr>
          <w:p>
            <w:r>
              <w:rPr>
                <w:b/>
                <w:bCs/>
                <w:color w:val="000000"/>
                <w:sz w:val="20"/>
                <w:szCs w:val="20"/>
              </w:rPr>
              <w:t xml:space="preserve">Day 1–2</w:t>
            </w:r>
          </w:p>
        </w:tc>
        <w:tc>
          <w:tcPr>
            <w:tcW w:type="dxa" w:w="6740"/>
            <w:shd w:fill="FFFFFF" w:val="clear"/>
            <w:tcMar>
              <w:top w:type="dxa" w:w="100"/>
              <w:left w:type="dxa" w:w="120"/>
              <w:bottom w:type="dxa" w:w="100"/>
              <w:right w:type="dxa" w:w="120"/>
            </w:tcMar>
          </w:tcPr>
          <w:p>
            <w:pPr>
              <w:spacing w:after="60"/>
            </w:pPr>
            <w:r>
              <w:rPr>
                <w:b w:val="false"/>
                <w:bCs w:val="false"/>
                <w:color w:val="000000"/>
                <w:sz w:val="20"/>
                <w:szCs w:val="20"/>
              </w:rPr>
              <w:t xml:space="preserve">Whole team meets: agree on the plan below, set up the shared GitHub folder, and agree on fair, respectful ways to collect data (no scraping private or password-protected pages).</w:t>
            </w:r>
          </w:p>
          <w:p>
            <w:pPr>
              <w:spacing w:after="60"/>
            </w:pPr>
            <w:r>
              <w:rPr>
                <w:b w:val="false"/>
                <w:bCs w:val="false"/>
                <w:color w:val="000000"/>
                <w:sz w:val="20"/>
                <w:szCs w:val="20"/>
              </w:rPr>
              <w:t xml:space="preserve">Team confirms Dholuo as our focus language for now (already agreed via poll).</w:t>
            </w:r>
          </w:p>
          <w:p>
            <w:pPr>
              <w:spacing w:after="0"/>
            </w:pPr>
            <w:r>
              <w:rPr>
                <w:b w:val="false"/>
                <w:bCs w:val="false"/>
                <w:color w:val="000000"/>
                <w:sz w:val="20"/>
                <w:szCs w:val="20"/>
              </w:rPr>
              <w:t xml:space="preserve">Person 1 starts the source list. Person 3 looks over the spreadsheet we already have and lists what's missing.</w:t>
            </w:r>
          </w:p>
        </w:tc>
      </w:tr>
      <w:tr>
        <w:tc>
          <w:tcPr>
            <w:tcW w:type="dxa" w:w="2200"/>
            <w:shd w:fill="E9F0EC" w:val="clear"/>
            <w:tcMar>
              <w:top w:type="dxa" w:w="100"/>
              <w:left w:type="dxa" w:w="120"/>
              <w:bottom w:type="dxa" w:w="100"/>
              <w:right w:type="dxa" w:w="120"/>
            </w:tcMar>
          </w:tcPr>
          <w:p>
            <w:r>
              <w:rPr>
                <w:b/>
                <w:bCs/>
                <w:color w:val="000000"/>
                <w:sz w:val="20"/>
                <w:szCs w:val="20"/>
              </w:rPr>
              <w:t xml:space="preserve">Day 3–4</w:t>
            </w:r>
          </w:p>
        </w:tc>
        <w:tc>
          <w:tcPr>
            <w:tcW w:type="dxa" w:w="6740"/>
            <w:shd w:fill="E9F0EC" w:val="clear"/>
            <w:tcMar>
              <w:top w:type="dxa" w:w="100"/>
              <w:left w:type="dxa" w:w="120"/>
              <w:bottom w:type="dxa" w:w="100"/>
              <w:right w:type="dxa" w:w="120"/>
            </w:tcMar>
          </w:tcPr>
          <w:p>
            <w:pPr>
              <w:spacing w:after="60"/>
            </w:pPr>
            <w:r>
              <w:rPr>
                <w:b w:val="false"/>
                <w:bCs w:val="false"/>
                <w:color w:val="000000"/>
                <w:sz w:val="20"/>
                <w:szCs w:val="20"/>
              </w:rPr>
              <w:t xml:space="preserve">Person 2 starts collecting new English/Kiswahili → Dholuo messages from the confirmed sources, focusing on Health and Agriculture.</w:t>
            </w:r>
          </w:p>
          <w:p>
            <w:pPr>
              <w:spacing w:after="0"/>
            </w:pPr>
            <w:r>
              <w:rPr>
                <w:b w:val="false"/>
                <w:bCs w:val="false"/>
                <w:color w:val="000000"/>
                <w:sz w:val="20"/>
                <w:szCs w:val="20"/>
              </w:rPr>
              <w:t xml:space="preserve">Person 4 fills in missing translations for Dholuo and starts spot-checking existing ones.</w:t>
            </w:r>
          </w:p>
        </w:tc>
      </w:tr>
      <w:tr>
        <w:tc>
          <w:tcPr>
            <w:tcW w:type="dxa" w:w="2200"/>
            <w:shd w:fill="FFFFFF" w:val="clear"/>
            <w:tcMar>
              <w:top w:type="dxa" w:w="100"/>
              <w:left w:type="dxa" w:w="120"/>
              <w:bottom w:type="dxa" w:w="100"/>
              <w:right w:type="dxa" w:w="120"/>
            </w:tcMar>
          </w:tcPr>
          <w:p>
            <w:r>
              <w:rPr>
                <w:b/>
                <w:bCs/>
                <w:color w:val="000000"/>
                <w:sz w:val="20"/>
                <w:szCs w:val="20"/>
              </w:rPr>
              <w:t xml:space="preserve">Day 5</w:t>
            </w:r>
          </w:p>
        </w:tc>
        <w:tc>
          <w:tcPr>
            <w:tcW w:type="dxa" w:w="6740"/>
            <w:shd w:fill="FFFFFF" w:val="clear"/>
            <w:tcMar>
              <w:top w:type="dxa" w:w="100"/>
              <w:left w:type="dxa" w:w="120"/>
              <w:bottom w:type="dxa" w:w="100"/>
              <w:right w:type="dxa" w:w="120"/>
            </w:tcMar>
          </w:tcPr>
          <w:p>
            <w:pPr>
              <w:spacing w:after="60"/>
            </w:pPr>
            <w:r>
              <w:rPr>
                <w:b w:val="false"/>
                <w:bCs w:val="false"/>
                <w:color w:val="000000"/>
                <w:sz w:val="20"/>
                <w:szCs w:val="20"/>
              </w:rPr>
              <w:t xml:space="preserve">Person 3 merges all the new messages into the master spreadsheet with the new columns filled in, and removes duplicates.</w:t>
            </w:r>
          </w:p>
          <w:p>
            <w:pPr>
              <w:spacing w:after="0"/>
            </w:pPr>
            <w:r>
              <w:rPr>
                <w:b w:val="false"/>
                <w:bCs w:val="false"/>
                <w:color w:val="000000"/>
                <w:sz w:val="20"/>
                <w:szCs w:val="20"/>
              </w:rPr>
              <w:t xml:space="preserve">Person 5 checks how close we are to 5,000 message pairs in Dholuo and lets the team know if any topic still needs more.</w:t>
            </w:r>
          </w:p>
        </w:tc>
      </w:tr>
      <w:tr>
        <w:tc>
          <w:tcPr>
            <w:tcW w:type="dxa" w:w="2200"/>
            <w:shd w:fill="E9F0EC" w:val="clear"/>
            <w:tcMar>
              <w:top w:type="dxa" w:w="100"/>
              <w:left w:type="dxa" w:w="120"/>
              <w:bottom w:type="dxa" w:w="100"/>
              <w:right w:type="dxa" w:w="120"/>
            </w:tcMar>
          </w:tcPr>
          <w:p>
            <w:r>
              <w:rPr>
                <w:b/>
                <w:bCs/>
                <w:color w:val="000000"/>
                <w:sz w:val="20"/>
                <w:szCs w:val="20"/>
              </w:rPr>
              <w:t xml:space="preserve">Day 6–7</w:t>
            </w:r>
          </w:p>
        </w:tc>
        <w:tc>
          <w:tcPr>
            <w:tcW w:type="dxa" w:w="6740"/>
            <w:shd w:fill="E9F0EC" w:val="clear"/>
            <w:tcMar>
              <w:top w:type="dxa" w:w="100"/>
              <w:left w:type="dxa" w:w="120"/>
              <w:bottom w:type="dxa" w:w="100"/>
              <w:right w:type="dxa" w:w="120"/>
            </w:tcMar>
          </w:tcPr>
          <w:p>
            <w:pPr>
              <w:spacing w:after="60"/>
            </w:pPr>
            <w:r>
              <w:rPr>
                <w:b w:val="false"/>
                <w:bCs w:val="false"/>
                <w:color w:val="000000"/>
                <w:sz w:val="20"/>
                <w:szCs w:val="20"/>
              </w:rPr>
              <w:t xml:space="preserve">Team fills any remaining gaps together.</w:t>
            </w:r>
          </w:p>
          <w:p>
            <w:pPr>
              <w:spacing w:after="60"/>
            </w:pPr>
            <w:r>
              <w:rPr>
                <w:b w:val="false"/>
                <w:bCs w:val="false"/>
                <w:color w:val="000000"/>
                <w:sz w:val="20"/>
                <w:szCs w:val="20"/>
              </w:rPr>
              <w:t xml:space="preserve">Person 5 writes the short end-of-week report.</w:t>
            </w:r>
          </w:p>
          <w:p>
            <w:pPr>
              <w:spacing w:after="0"/>
            </w:pPr>
            <w:r>
              <w:rPr>
                <w:b w:val="false"/>
                <w:bCs w:val="false"/>
                <w:color w:val="000000"/>
                <w:sz w:val="20"/>
                <w:szCs w:val="20"/>
              </w:rPr>
              <w:t xml:space="preserve">Everyone reviews the final spreadsheet together before it's uploaded to GitHub.</w:t>
            </w:r>
          </w:p>
        </w:tc>
      </w:tr>
    </w:tbl>
    <w:p>
      <w:pPr>
        <w:pStyle w:val="Heading1"/>
        <w:spacing w:after="160" w:before="320"/>
      </w:pPr>
      <w:r>
        <w:rPr>
          <w:b/>
          <w:bCs/>
          <w:color w:val="2E5B4C"/>
        </w:rPr>
        <w:t xml:space="preserve">How we'll know Week 1 went well</w:t>
      </w:r>
    </w:p>
    <w:p>
      <w:pPr>
        <w:pStyle w:val="ListParagraph"/>
        <w:numPr>
          <w:ilvl w:val="0"/>
          <w:numId w:val="2"/>
        </w:numPr>
        <w:spacing w:after="80"/>
      </w:pPr>
      <w:r>
        <w:t xml:space="preserve">At least 10 sources written down.</w:t>
      </w:r>
    </w:p>
    <w:p>
      <w:pPr>
        <w:pStyle w:val="ListParagraph"/>
        <w:numPr>
          <w:ilvl w:val="0"/>
          <w:numId w:val="2"/>
        </w:numPr>
        <w:spacing w:after="80"/>
      </w:pPr>
      <w:r>
        <w:t xml:space="preserve">At least 5,000 English/Kiswahili → Dholuo message pairs.</w:t>
      </w:r>
    </w:p>
    <w:p>
      <w:pPr>
        <w:pStyle w:val="ListParagraph"/>
        <w:numPr>
          <w:ilvl w:val="0"/>
          <w:numId w:val="2"/>
        </w:numPr>
        <w:spacing w:after="80"/>
      </w:pPr>
      <w:r>
        <w:t xml:space="preserve">The spreadsheet has clear columns for source, date, and topic.</w:t>
      </w:r>
    </w:p>
    <w:p>
      <w:pPr>
        <w:pStyle w:val="ListParagraph"/>
        <w:numPr>
          <w:ilvl w:val="0"/>
          <w:numId w:val="2"/>
        </w:numPr>
        <w:spacing w:after="80"/>
      </w:pPr>
      <w:r>
        <w:t xml:space="preserve">No duplicate or missing translations left unresolved.</w:t>
      </w:r>
    </w:p>
    <w:p>
      <w:pPr>
        <w:pStyle w:val="ListParagraph"/>
        <w:numPr>
          <w:ilvl w:val="0"/>
          <w:numId w:val="2"/>
        </w:numPr>
        <w:spacing w:after="80"/>
      </w:pPr>
      <w:r>
        <w:t xml:space="preserve">Everything is saved to our shared GitHub folder.</w:t>
      </w:r>
    </w:p>
    <w:p>
      <w:pPr>
        <w:pStyle w:val="ListParagraph"/>
        <w:numPr>
          <w:ilvl w:val="0"/>
          <w:numId w:val="2"/>
        </w:numPr>
        <w:spacing w:after="80"/>
      </w:pPr>
      <w:r>
        <w:t xml:space="preserve">The short report is written and submitted.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2026-07-08T12:55:06.680Z</dcterms:created>
  <dcterms:modified xsi:type="dcterms:W3CDTF">2026-07-08T12:55:06.704Z</dcterms:modified>
</cp:coreProperties>
</file>

<file path=docProps/custom.xml><?xml version="1.0" encoding="utf-8"?>
<Properties xmlns="http://schemas.openxmlformats.org/officeDocument/2006/custom-properties" xmlns:vt="http://schemas.openxmlformats.org/officeDocument/2006/docPropsVTypes"/>
</file>