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Shadow Futures Research Program for Contestability Evidence and Policy</w:t>
      </w:r>
    </w:p>
    <w:p>
      <w:pPr>
        <w:keepNext/>
        <w:spacing w:line="240" w:lineRule="auto"/>
        <w:jc w:val="center"/>
      </w:pPr>
      <w:r>
        <w:t xml:space="preserve">Martin Erlic</w:t>
      </w:r>
    </w:p>
    <w:p>
      <w:pPr>
        <w:keepNext/>
        <w:spacing w:after="240" w:line="240" w:lineRule="auto"/>
        <w:jc w:val="center"/>
      </w:pPr>
      <w:r>
        <w:rPr>
          <w:i/>
          <w:sz w:val="20"/>
        </w:rPr>
        <w:t xml:space="preserve">October 2026 · Research draft</w:t>
      </w:r>
    </w:p>
    <w:p>
      <w:pPr>
        <w:keepNext/>
      </w:pPr>
      <w:r>
        <w:rPr>
          <w:b/>
        </w:rPr>
        <w:t xml:space="preserve">Abstract</w:t>
      </w:r>
    </w:p>
    <w:p>
      <w:r>
        <w:t xml:space="preserve">Shadow Futures introduces a comparison budget for histories in which allocation reinforces future allocation. Its impossibility result concerns learning within a specified statistical experiment. This research program develops five companion papers connecting that result to technological entry conditions, empirical measurement, counterfactual reasoning, competition policy, and corrective taxation. The proposed contribution is a decision framework that evaluates feasible access arrangements and the evidence they generate, without taking a concentration index as its economic primitive. Productive scale benefits, additional information channels, implementation costs, and existing legal requirements remain explicit. The theoretical papers establish conditional propositions; the methods paper includes a reproducible synthetic experiment. No manuscript estimates the external cost of an actual AI company. The program identifies the additional evidence needed to determine whether a particular access mechanism causes an uninternalized social loss and whether an access remedy, experimental subsidy, or activity-specific charge is the least costly response. Success means a reproducible diagnosis and an actionable decision under declared assumptions, including the possibility that intervention is unwarranted.</w:t>
      </w:r>
    </w:p>
    <w:p>
      <w:r>
        <w:t xml:space="preserve">Keywords: comparison budget, contestability, research program, counterfactual evidence, competition policy, corrective taxation, AI markets.</w:t>
      </w:r>
    </w:p>
    <w:p>
      <w:r>
        <w:t xml:space="preserve">JEL codes: D83, L41, C18, H23, B41.</w:t>
      </w:r>
    </w:p>
    <w:p>
      <w:pPr>
        <w:pStyle w:val="Heading1"/>
        <w:pageBreakBefore/>
      </w:pPr>
      <w:r>
        <w:t xml:space="preserve">1. The Question and the Claim</w:t>
      </w:r>
    </w:p>
    <w:p>
      <w:r>
        <w:t xml:space="preserve">The motivating question is whether an industry can become difficult to contest before qualified alternatives obtain enough opportunities to demonstrate their value. This question is especially relevant when technological capability, distribution, and learning all depend on scale. It admits competing explanations: the incumbent may be productively superior; efficient capability expenditure may support only a few providers; access arrangements may suppress feasible entry; or feedback may destroy evidence about alternatives that remain technically possible.</w:t>
      </w:r>
    </w:p>
    <w:p>
      <w:r>
        <w:t xml:space="preserve">The program separates these explanations. Its central policy hypothesis is that some modifiable access mechanisms reduce socially valuable comparison beyond what their private operators internalize. A low comparison budget is not itself a welfare loss. The hypothesis needs an informative experiment, a consequential decision, a feasible counterfactual, and benefits exceeding costs. The claim that particular AI firms are undertaxed is a later empirical proposition, not a premise.</w:t>
      </w:r>
    </w:p>
    <w:p>
      <w:r>
        <w:t xml:space="preserve">The five accompanying manuscripts are complete research drafts with stated models and arguments. They form a coherent starting program, rather than a completed empirical case or a demonstrated general-equilibrium theory. Their short models are deliberately modular: integrating strategic entry, investment, and instrument choice in one dynamic equilibrium is an identified extension. Their novelty must be assessed against contestable-market theory, endogenous sunk costs, reinforced processes, statistical decision theory, causal inference, and optimal taxation. Established results are credited rather than relabeled.</w:t>
      </w:r>
    </w:p>
    <w:p>
      <w:pPr>
        <w:pStyle w:val="Heading1"/>
      </w:pPr>
      <w:r>
        <w:t xml:space="preserve">2. What the Foundational Paper Supplies</w:t>
      </w:r>
    </w:p>
    <w:p>
      <w:r>
        <w:t xml:space="preserve">The v5 author manuscript of Shadow Futures is the foundation. In its allocation experiment, residual contestability is the conditional probability outside the most likely recipient. The comparison budget sums these opportunities over time:</w:t>
      </w:r>
    </w:p>
    <w:p>
      <w:pPr>
        <w:keepLines/>
        <w:spacing w:line="240" w:lineRule="auto"/>
        <w:jc w:val="center"/>
      </w:pPr>
      <m:oMathPara>
        <m:oMath>
          <m:sSub>
            <m:e>
              <m:r>
                <w:rPr>
                  <w:rFonts w:ascii="Cambria Math" w:hAnsi="Cambria Math"/>
                  <w:sz w:val="24"/>
                </w:rPr>
                <m:t>ε</m:t>
              </m:r>
            </m:e>
            <m:sub>
              <m:r>
                <w:rPr>
                  <w:rFonts w:ascii="Cambria Math" w:hAnsi="Cambria Math"/>
                  <w:sz w:val="24"/>
                </w:rPr>
                <m:t>t</m:t>
              </m:r>
            </m:sub>
          </m:sSub>
          <m:r>
            <w:rPr>
              <w:rFonts w:ascii="Cambria Math" w:hAnsi="Cambria Math"/>
              <w:sz w:val="24"/>
            </w:rPr>
            <m:t>=1−</m:t>
          </m:r>
          <m:sSub>
            <m:e>
              <m:r>
                <m:rPr>
                  <m:sty m:val="p"/>
                </m:rPr>
                <w:rPr>
                  <w:rFonts w:ascii="Cambria Math" w:hAnsi="Cambria Math"/>
                  <w:sz w:val="24"/>
                </w:rPr>
                <m:t>max</m:t>
              </m:r>
            </m:e>
            <m:sub>
              <m:r>
                <w:rPr>
                  <w:rFonts w:ascii="Cambria Math" w:hAnsi="Cambria Math"/>
                  <w:sz w:val="24"/>
                </w:rPr>
                <m:t>i</m:t>
              </m:r>
            </m:sub>
          </m:sSub>
          <m:sSub>
            <m:e>
              <m:r>
                <w:rPr>
                  <w:rFonts w:ascii="Cambria Math" w:hAnsi="Cambria Math"/>
                  <w:sz w:val="24"/>
                </w:rPr>
                <m:t>p</m:t>
              </m:r>
            </m:e>
            <m:sub>
              <m:r>
                <w:rPr>
                  <w:rFonts w:ascii="Cambria Math" w:hAnsi="Cambria Math"/>
                  <w:sz w:val="24"/>
                </w:rPr>
                <m:t>it</m:t>
              </m:r>
            </m:sub>
          </m:sSub>
          <m:r>
            <w:rPr>
              <w:rFonts w:ascii="Cambria Math" w:hAnsi="Cambria Math"/>
              <w:sz w:val="24"/>
            </w:rPr>
            <m:t>,</m:t>
          </m:r>
          <m:r>
            <m:rPr>
              <m:nor/>
            </m:rPr>
            <w:rPr>
              <w:rFonts w:ascii="Cambria Math" w:hAnsi="Cambria Math"/>
              <w:sz w:val="24"/>
            </w:rPr>
            <m:t> </m:t>
          </m:r>
          <m:sSub>
            <m:e>
              <m:r>
                <w:rPr>
                  <w:rFonts w:ascii="Cambria Math" w:hAnsi="Cambria Math"/>
                  <w:sz w:val="24"/>
                </w:rPr>
                <m:t>B</m:t>
              </m:r>
            </m:e>
            <m:sub>
              <m:r>
                <w:rPr>
                  <w:rFonts w:ascii="Cambria Math" w:hAnsi="Cambria Math"/>
                  <w:sz w:val="24"/>
                </w:rPr>
                <m:t>T</m:t>
              </m:r>
            </m:sub>
          </m:sSub>
          <m:r>
            <w:rPr>
              <w:rFonts w:ascii="Cambria Math" w:hAnsi="Cambria Math"/>
              <w:sz w:val="24"/>
            </w:rPr>
            <m:t>=</m:t>
          </m:r>
          <m:nary>
            <m:naryPr>
              <m:chr m:val="∑"/>
              <m:limLoc m:val="subSup"/>
              <m:grow m:val="1"/>
              <m:subHide m:val="off"/>
              <m:supHide m:val="on"/>
            </m:naryPr>
            <m:sub>
              <m:r>
                <w:rPr>
                  <w:rFonts w:ascii="Cambria Math" w:hAnsi="Cambria Math"/>
                  <w:sz w:val="24"/>
                </w:rPr>
                <m:t>t&lt;T</m:t>
              </m:r>
            </m:sub>
            <m:sup/>
            <m:e>
              <m:sSub>
                <m:e>
                  <m:r>
                    <w:rPr>
                      <w:rFonts w:ascii="Cambria Math" w:hAnsi="Cambria Math"/>
                      <w:sz w:val="24"/>
                    </w:rPr>
                    <m:t>ε</m:t>
                  </m:r>
                </m:e>
                <m:sub>
                  <m:r>
                    <w:rPr>
                      <w:rFonts w:ascii="Cambria Math" w:hAnsi="Cambria Math"/>
                      <w:sz w:val="24"/>
                    </w:rPr>
                    <m:t>t</m:t>
                  </m:r>
                </m:sub>
              </m:sSub>
            </m:e>
          </m:nary>
          <m:r>
            <w:rPr>
              <w:rFonts w:ascii="Cambria Math" w:hAnsi="Cambria Math"/>
              <w:sz w:val="24"/>
            </w:rPr>
            <m:t>.</m:t>
          </m:r>
        </m:oMath>
      </m:oMathPara>
    </w:p>
    <w:p>
      <w:r>
        <w:t xml:space="preserve">Under bounded conditional-logit profiles, this budget bounds cumulative conditional Fisher information, while finite-horizon KL bounds use its expectation. Under the stated Hellinger domination and almost-sure summability conditions, distinct parameter laws on the complete raw history remain equivalent. A nonconstant parameter functional consequently has no estimator consistent at every admissible parameter from that single history. The predictive-merging corollary explains how two fixed models can come to agree on future observations while parameter attribution remains unresolved.</w:t>
      </w:r>
    </w:p>
    <w:p>
      <w:r>
        <w:t xml:space="preserve">These conclusions concern the entire specified experiment. Additional parameter-dependent outcomes can restore information and must be counted. An infinite budget need not identify a parameter, a concentrated market need not have a finite budget, and a finite observed prefix cannot establish almost-sure infinite-horizon summability. Neither the theorem nor a Lean proof supplies a causal interpretation or a welfare valuation automatically.</w:t>
      </w:r>
    </w:p>
    <w:p>
      <w:r>
        <w:t xml:space="preserve">Formal verification is a parallel assurance task. Hunchroom problem 44 contains the main formal statement; problem 45 verifies a supporting inequality. A verified helper does not verify the main theorem. Before relying on a formal certificate, archive the accepted Lean source, its dependencies, and the exact statement. The conditional-logit bounds and predictive-merging corollary need separate formalizations if formal certification of those additions is sought. Conventional mathematical review remains necessary to assess whether the formal statement represents the intended economic model.</w:t>
      </w:r>
    </w:p>
    <w:p>
      <w:pPr>
        <w:pStyle w:val="Heading1"/>
      </w:pPr>
      <w:r>
        <w:t xml:space="preserve">3. The Five Companion Papers</w:t>
      </w:r>
    </w:p>
    <w:p>
      <w:r>
        <w:t xml:space="preserve">Paper 1 — Endogenous Contestability and Technological Scale. The economic paper separates productive scale gains, capability expenditure, and an access advantage. It proves a capability bound on feasible provider counts, a launch-entry threshold, and a bound on remaining comparison after dominance in a fixed reinforced cohort. Its contribution to the program is a disciplined definition of suppressed feasible entry: a qualified candidate crosses a private project threshold under a named feasible access change while productive benefits are preserved. It does not derive optimal firm counts or an industry equilibrium.</w:t>
      </w:r>
    </w:p>
    <w:p>
      <w:r>
        <w:t xml:space="preserve">Paper 2 — Measuring Comparison Opportunities in Adaptive Markets. The methods paper specifies the joint exposure-and-response kernel, probability evidence, directional information, finite-horizon inference, and sensitivity regions. A reproducible two-recipient experiment compares one reinforced history with independent sixteen-allocation markets at equal transaction totals. Its contribution is a measurement protocol and an actual synthetic benchmark. It supplies no field estimate and does not infer an asymptotic theorem from simulation.</w:t>
      </w:r>
    </w:p>
    <w:p>
      <w:r>
        <w:t xml:space="preserve">Paper 3 — Counterfactual Evidence and the Limits of Market Attribution. The philosophy and causal-inference paper separates definition, identification, learning, and decision. A classical potential-outcome coupling shows that randomized marginal evidence may identify an average effect while leaving individual-effect distributions unresolved. It distinguishes that failure from equivalent but different history laws in Shadow Futures. Its contribution is an evidence contract for claims about unrealized firms and interventions: the counterfactual must be feasible, its observation model specified, and its identifying restrictions defended.</w:t>
      </w:r>
    </w:p>
    <w:p>
      <w:r>
        <w:t xml:space="preserve">Paper 4 — Competition Policy for Informative Market Access. The competition paper values information through a declared decision loss and compares access instruments after accounting for productive benefits and real costs. A Blackwell argument establishes conditional gross informational value; a concentrated-provider counterexample shows why size alone cannot establish epistemic harm. A common decision rule across plausible models makes robust remedy evaluation implementable. The paper distinguishes its economic service boundary from statutory market definition and other legal conditions.</w:t>
      </w:r>
    </w:p>
    <w:p>
      <w:r>
        <w:t xml:space="preserve">Paper 5 — Taxing the Social Cost of Lost Contestability. The tax paper derives an activity-specific corrective schedule when private returns omit an external welfare term. It allows productive external benefits to offset or reverse the charge. It proves why one coarse proxy may fail to implement the correction and explains why a proportional tax on fully deductible true profit need not change the relevant activity margin. Its contribution is the precise hypothesis to estimate before claiming inadequate correction, together with an explicit distinction between aggregate welfare improvement and Pareto improvement.</w:t>
      </w:r>
    </w:p>
    <w:p>
      <w:pPr>
        <w:pStyle w:val="Heading1"/>
      </w:pPr>
      <w:r>
        <w:t xml:space="preserve">4. A Shared Evidence and Welfare Contract</w:t>
      </w:r>
    </w:p>
    <w:p>
      <w:r>
        <w:t xml:space="preserve">Every application should specify the service tasks, eligible users, quality and resource requirements, time horizon, and feasible candidates before examining shares. Record the productive technology separately from the access mechanism and reinforcement state. Define the target decision and intervention before choosing a comparison statistic. Economic boundaries can be useful without displacing the legal tests required by the governing instrument.</w:t>
      </w:r>
    </w:p>
    <w:p>
      <w:r>
        <w:t xml:space="preserve">Use the complete observation kernel: allocations, exposure, responses, prices, eligibility, relevant feedback, and audit evidence. Known randomized exposure does not reveal an unknown structural response. Independently initialized markets are informative replications only under a common parameter or a justified transport argument and appropriate independence. Many firms using the same ranking or data pipeline may provide fewer independent comparisons than their count suggests.</w:t>
      </w:r>
    </w:p>
    <w:p>
      <w:r>
        <w:t xml:space="preserve">Translate evidence into welfare through its effect on a specified decision. For a declared prior, loss, and action set, the value of an experiment is the reduction in attainable decision risk. Monetary valuation requires an additional account of who benefits, their payoffs, and any distributional weights. Avoid double counting private learning benefits as external benefits and avoid treating budget units as monetary damage.</w:t>
      </w:r>
    </w:p>
    <w:p>
      <w:r>
        <w:t xml:space="preserve">For an activity a, the tax manuscript writes private net value as Π(a), external productive benefit as G(a), other external damage as D(a), and external decision value as V(a). With consistent accounting:</w:t>
      </w:r>
    </w:p>
    <w:p>
      <w:pPr>
        <w:keepNext/>
        <w:keepLines/>
        <w:spacing w:line="240" w:lineRule="auto"/>
        <w:jc w:val="center"/>
      </w:pPr>
      <m:oMathPara>
        <m:oMath>
          <m:r>
            <w:rPr>
              <w:rFonts w:ascii="Cambria Math" w:hAnsi="Cambria Math"/>
              <w:sz w:val="24"/>
            </w:rPr>
            <m:t>W</m:t>
          </m:r>
          <m:d>
            <m:dPr>
              <m:sepChr m:val=""/>
            </m:dPr>
            <m:e>
              <m:r>
                <w:rPr>
                  <w:rFonts w:ascii="Cambria Math" w:hAnsi="Cambria Math"/>
                  <w:sz w:val="24"/>
                </w:rPr>
                <m:t>a</m:t>
              </m:r>
            </m:e>
          </m:d>
          <m:r>
            <w:rPr>
              <w:rFonts w:ascii="Cambria Math" w:hAnsi="Cambria Math"/>
              <w:sz w:val="24"/>
            </w:rPr>
            <m:t>=Π</m:t>
          </m:r>
          <m:d>
            <m:dPr>
              <m:sepChr m:val=""/>
            </m:dPr>
            <m:e>
              <m:r>
                <w:rPr>
                  <w:rFonts w:ascii="Cambria Math" w:hAnsi="Cambria Math"/>
                  <w:sz w:val="24"/>
                </w:rPr>
                <m:t>a</m:t>
              </m:r>
            </m:e>
          </m:d>
          <m:r>
            <w:rPr>
              <w:rFonts w:ascii="Cambria Math" w:hAnsi="Cambria Math"/>
              <w:sz w:val="24"/>
            </w:rPr>
            <m:t>+G</m:t>
          </m:r>
          <m:d>
            <m:dPr>
              <m:sepChr m:val=""/>
            </m:dPr>
            <m:e>
              <m:r>
                <w:rPr>
                  <w:rFonts w:ascii="Cambria Math" w:hAnsi="Cambria Math"/>
                  <w:sz w:val="24"/>
                </w:rPr>
                <m:t>a</m:t>
              </m:r>
            </m:e>
          </m:d>
          <m:r>
            <w:rPr>
              <w:rFonts w:ascii="Cambria Math" w:hAnsi="Cambria Math"/>
              <w:sz w:val="24"/>
            </w:rPr>
            <m:t>−D</m:t>
          </m:r>
          <m:d>
            <m:dPr>
              <m:sepChr m:val=""/>
            </m:dPr>
            <m:e>
              <m:r>
                <w:rPr>
                  <w:rFonts w:ascii="Cambria Math" w:hAnsi="Cambria Math"/>
                  <w:sz w:val="24"/>
                </w:rPr>
                <m:t>a</m:t>
              </m:r>
            </m:e>
          </m:d>
          <m:r>
            <w:rPr>
              <w:rFonts w:ascii="Cambria Math" w:hAnsi="Cambria Math"/>
              <w:sz w:val="24"/>
            </w:rPr>
            <m:t>+δV</m:t>
          </m:r>
          <m:d>
            <m:dPr>
              <m:sepChr m:val=""/>
            </m:dPr>
            <m:e>
              <m:r>
                <w:rPr>
                  <w:rFonts w:ascii="Cambria Math" w:hAnsi="Cambria Math"/>
                  <w:sz w:val="24"/>
                </w:rPr>
                <m:t>a</m:t>
              </m:r>
            </m:e>
          </m:d>
          <m:r>
            <w:rPr>
              <w:rFonts w:ascii="Cambria Math" w:hAnsi="Cambria Math"/>
              <w:sz w:val="24"/>
            </w:rPr>
            <m:t>,</m:t>
          </m:r>
        </m:oMath>
      </m:oMathPara>
    </w:p>
    <w:p>
      <w:pPr>
        <w:keepLines/>
        <w:spacing w:line="240" w:lineRule="auto"/>
        <w:jc w:val="center"/>
      </w:pPr>
      <m:oMathPara>
        <m:oMath>
          <m:r>
            <w:rPr>
              <w:rFonts w:ascii="Cambria Math" w:hAnsi="Cambria Math"/>
              <w:sz w:val="24"/>
            </w:rPr>
            <m:t>T′</m:t>
          </m:r>
          <m:d>
            <m:dPr>
              <m:sepChr m:val=""/>
            </m:dPr>
            <m:e>
              <m:r>
                <w:rPr>
                  <w:rFonts w:ascii="Cambria Math" w:hAnsi="Cambria Math"/>
                  <w:sz w:val="24"/>
                </w:rPr>
                <m:t>a</m:t>
              </m:r>
            </m:e>
          </m:d>
          <m:r>
            <w:rPr>
              <w:rFonts w:ascii="Cambria Math" w:hAnsi="Cambria Math"/>
              <w:sz w:val="24"/>
            </w:rPr>
            <m:t>=D′</m:t>
          </m:r>
          <m:d>
            <m:dPr>
              <m:sepChr m:val=""/>
            </m:dPr>
            <m:e>
              <m:r>
                <w:rPr>
                  <w:rFonts w:ascii="Cambria Math" w:hAnsi="Cambria Math"/>
                  <w:sz w:val="24"/>
                </w:rPr>
                <m:t>a</m:t>
              </m:r>
            </m:e>
          </m:d>
          <m:r>
            <w:rPr>
              <w:rFonts w:ascii="Cambria Math" w:hAnsi="Cambria Math"/>
              <w:sz w:val="24"/>
            </w:rPr>
            <m:t>−G′</m:t>
          </m:r>
          <m:d>
            <m:dPr>
              <m:sepChr m:val=""/>
            </m:dPr>
            <m:e>
              <m:r>
                <w:rPr>
                  <w:rFonts w:ascii="Cambria Math" w:hAnsi="Cambria Math"/>
                  <w:sz w:val="24"/>
                </w:rPr>
                <m:t>a</m:t>
              </m:r>
            </m:e>
          </m:d>
          <m:r>
            <w:rPr>
              <w:rFonts w:ascii="Cambria Math" w:hAnsi="Cambria Math"/>
              <w:sz w:val="24"/>
            </w:rPr>
            <m:t>−δV′</m:t>
          </m:r>
          <m:d>
            <m:dPr>
              <m:sepChr m:val=""/>
            </m:dPr>
            <m:e>
              <m:r>
                <w:rPr>
                  <w:rFonts w:ascii="Cambria Math" w:hAnsi="Cambria Math"/>
                  <w:sz w:val="24"/>
                </w:rPr>
                <m:t>a</m:t>
              </m:r>
            </m:e>
          </m:d>
          <m:r>
            <w:rPr>
              <w:rFonts w:ascii="Cambria Math" w:hAnsi="Cambria Math"/>
              <w:sz w:val="24"/>
            </w:rPr>
            <m:t>.</m:t>
          </m:r>
        </m:oMath>
      </m:oMathPara>
    </w:p>
    <w:p>
      <w:r>
        <w:t xml:space="preserve">The derivative is a benchmark under the paper's maintained assumptions. Its sign, size, legal feasibility, incidence, and implementability are empirical and institutional questions. A revenue percentage is not comparable to this marginal activity wedge without a mapping between tax base and activity. Access reform or subsidized independent testing may obtain the desired information at lower cost than taxation.</w:t>
      </w:r>
    </w:p>
    <w:p>
      <w:pPr>
        <w:pStyle w:val="Heading1"/>
      </w:pPr>
      <w:r>
        <w:t xml:space="preserve">5. Research Gates and Deliverables</w:t>
      </w:r>
    </w:p>
    <w:p>
      <w:r>
        <w:t xml:space="preserve">Gate 1 — Audit the theory. Commission adversarial mathematical and economic review of v5 and the companion propositions. Test additional information channels, parameter invariance, independent-copy assumptions, and counterexamples with efficient concentration. Reproduce the synthetic likelihood calculations and archive code, seeds, environment, and outputs. The deliverable is a versioned claim ledger identifying proved statements, maintained assumptions, unresolved extensions, and empirical hypotheses.</w:t>
      </w:r>
    </w:p>
    <w:p>
      <w:r>
        <w:t xml:space="preserve">Gate 2 — Select one bounded application. A defensible first study is a procurement or routing pilot with qualified AI service suppliers, declared task weights, a fixed resource envelope, registered outcomes, and separable allocation cohorts. Begin where a public buyer or cooperating operator can lawfully implement the experiment. Compare an existing route with a specified access change and independent short comparison blocks. Record downstream quality, costs, uptake, incidents, and spillovers; do not use supplier exposure alone as a measure of learning.</w:t>
      </w:r>
    </w:p>
    <w:p>
      <w:r>
        <w:t xml:space="preserve">Gate 3 — Estimate finite-horizon effects. Report entry-margin changes, attainable discrimination or confidence regions, probability uncertainty, and direct operating outcomes. Predeclare the decision endpoint and analyze interference. Include high-budget but uninformative controls and informative additional-response controls. Failed probability-model checks or unstable parameters should trigger revision of the model, not be absorbed into an unexplained contestability score.</w:t>
      </w:r>
    </w:p>
    <w:p>
      <w:r>
        <w:t xml:space="preserve">Gate 4 — Value and compare instruments. Estimate the expected cost of the actual decisions improved by additional evidence, who captures their benefits, and transition, privacy, security, duplication, and innovation costs. Compare auditing, portability, interoperability, pilots, and independent replication using a common objective. Publish break-even values and sensitivity to priors, transport assumptions, and distributional weights. A remedy should survive the declared decision criterion and applicable legal requirements.</w:t>
      </w:r>
    </w:p>
    <w:p>
      <w:r>
        <w:t xml:space="preserve">Gate 5 — Test inadequate correction. Only after credible causal and welfare measurement, compare the identified external marginal cost with the effective marginal correction already applying to the same activity. Existing access duties, liability, procurement conditions, subsidies, and taxes can affect that margin. Constraints changing the feasible set require an institutional comparison rather than automatic conversion into a monetary wedge. A positive lower bound on the remaining wedge supports an inadequate-correction claim for that activity. It does not establish a universal tax rate for AI companies. Prepare a scoped legislative or procurement proposal with monitoring, review, and stopping rules if evidence supports intervention.</w:t>
      </w:r>
    </w:p>
    <w:p>
      <w:pPr>
        <w:pStyle w:val="Heading1"/>
      </w:pPr>
      <w:r>
        <w:t xml:space="preserve">6. Falsification, AI Applications, and Influence</w:t>
      </w:r>
    </w:p>
    <w:p>
      <w:r>
        <w:t xml:space="preserve">The program should be weakened by contrary evidence. Qualified entrants may remain unviable after feasible access barriers are removed. A richer outcome record may identify the target despite concentrated allocation. Additional comparison may change no consequential decision. Operators may already internalize the benefits, or a remedy may cost more than its informational gain. Each finding defeats a particular policy premise and should be published as a result, rather than treated as an obstacle to a predetermined tax conclusion.</w:t>
      </w:r>
    </w:p>
    <w:p>
      <w:r>
        <w:t xml:space="preserve">For machine learning, the closest application is adaptive evaluation and deployment: recommender exposure, supplier routing, agent selection, and feedback-conditioned collection of training examples. Productive reuse of a large dataset can coexist with poor evidence about displaced alternatives. The relevant test asks whether fresh comparisons or response measurements improve the target decision at the same resource cost. Model size, compute expenditure, and reused tokens are not automatically comparison-budget units. Extending the theorem to gradient-based training requires a new observation and parameter model.</w:t>
      </w:r>
    </w:p>
    <w:p>
      <w:r>
        <w:t xml:space="preserve">Influence can develop through a reproducible toolkit, an independently reviewed pilot, a short technical policy brief, and a concrete procurement or access proposal. The website can host versioned manuscripts, the claim ledger, replication materials, and a contribution queue for specific mathematical or empirical tasks. Formal verification is one contribution route; data access, experimental design, welfare measurement, and replication are equally necessary. Outreach should present one bounded decision the evidence can improve, with its costs and limits, rather than a general diagnosis of technological monopoly.</w:t>
      </w:r>
    </w:p>
    <w:p>
      <w:r>
        <w:t xml:space="preserve">The first cycle should finish the theory audit and benchmark replication, then secure one feasible pilot before attempting a broad regulatory agenda. Later work can integrate endogenous investment and entry, spillovers across services, strategic responses to instruments, and international relocation. The program's success criterion is a justified choice among feasible policies. Sometimes that choice will preserve comparisons through intervention; sometimes it will retain an efficient arrangement because the proposed alternative has not earned its cost.</w:t>
      </w:r>
    </w:p>
    <w:p>
      <w:pPr>
        <w:pStyle w:val="Heading1"/>
      </w:pPr>
      <w:r>
        <w:t xml:space="preserve">References</w:t>
      </w:r>
    </w:p>
    <w:p>
      <w:r>
        <w:t xml:space="preserve">Erlic, M. (2026). Shadow Futures: Contribution Uncertainty and the Self-Reinforcing Market. V5 author manuscript, October 2026. Associated public record: doi:10.2139/ssrn.6003994.</w:t>
      </w:r>
    </w:p>
    <w:p>
      <w:r>
        <w:t xml:space="preserve">Erlic, M. (2026). Endogenous Contestability and Technological Scale. Companion research draft, October.</w:t>
      </w:r>
    </w:p>
    <w:p>
      <w:r>
        <w:t xml:space="preserve">Erlic, M. (2026). Measuring Comparison Opportunities in Adaptive Markets. Companion research draft, October. Synthetic benchmark and replication materials accompany the draft.</w:t>
      </w:r>
    </w:p>
    <w:p>
      <w:r>
        <w:t xml:space="preserve">Erlic, M. (2026). Counterfactual Evidence and the Limits of Market Attribution. Companion research draft, October.</w:t>
      </w:r>
    </w:p>
    <w:p>
      <w:r>
        <w:t xml:space="preserve">Erlic, M. (2026). Competition Policy for Informative Market Access. Companion research draft, October.</w:t>
      </w:r>
    </w:p>
    <w:p>
      <w:r>
        <w:t xml:space="preserve">Erlic, M. (2026). Taxing the Social Cost of Lost Contestability. Companion research draft, October.</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