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keepNext/>
        <w:spacing w:line="240" w:lineRule="auto"/>
        <w:jc w:val="center"/>
      </w:pPr>
      <w:r>
        <w:rPr>
          <w:rFonts w:ascii="Times New Roman" w:hAnsi="Times New Roman"/>
          <w:b/>
          <w:sz w:val="28"/>
        </w:rPr>
        <w:t xml:space="preserve">Endogenous Contestability and Technological Scale</w:t>
      </w:r>
    </w:p>
    <w:p>
      <w:pPr>
        <w:keepNext/>
        <w:spacing w:line="240" w:lineRule="auto"/>
        <w:jc w:val="center"/>
      </w:pPr>
      <w:r>
        <w:t xml:space="preserve">Martin Erlic</w:t>
      </w:r>
    </w:p>
    <w:p>
      <w:pPr>
        <w:keepNext/>
        <w:spacing w:after="240" w:line="240" w:lineRule="auto"/>
        <w:jc w:val="center"/>
      </w:pPr>
      <w:r>
        <w:rPr>
          <w:i/>
          <w:sz w:val="20"/>
        </w:rPr>
        <w:t xml:space="preserve">October 2026 · Research draft</w:t>
      </w:r>
    </w:p>
    <w:p>
      <w:pPr>
        <w:keepNext/>
      </w:pPr>
      <w:r>
        <w:rPr>
          <w:b/>
        </w:rPr>
        <w:t xml:space="preserve">Abstract</w:t>
      </w:r>
    </w:p>
    <w:p>
      <w:r>
        <w:t xml:space="preserve">Technological scale can improve service while making the conditions of entry more demanding. This paper separates productive scale gains, capability expenditure, and access advantages in a small model of contestability. A symmetric capability benchmark yields a bounded feasible provider count when required expenditure rises proportionally with market size. A launch model then identifies qualified entrants whose private viability changes when a specified access wedge is removed while productive scale benefits are preserved. Finally, a reinforced allocation model shows why a positive initial entry margin need not preserve informative comparison over time. After eventual dominance, the remaining comparison budget has an explicit decreasing bound; the fixed-cohort impossibility result in Shadow Futures supplies the corresponding limitation on learning input effects. The analysis distinguishes suppressed feasible entry from technologically inferior hypothetical firms and static contestability from the production of evidence. It proposes a service-specific policy test based on qualification, access counterfactuals, information, and implementation costs. Concentration alone establishes neither exclusion nor an appropriate remedy, and the model does not determine an optimal industry structure.</w:t>
      </w:r>
    </w:p>
    <w:p>
      <w:r>
        <w:t xml:space="preserve">Keywords: contestability, technological scale, entry, endogenous sunk costs, comparison budget, increasing returns, competition policy.</w:t>
      </w:r>
    </w:p>
    <w:p>
      <w:r>
        <w:t xml:space="preserve">JEL codes: L11, L13, L41, D83, O33.</w:t>
      </w:r>
    </w:p>
    <w:p>
      <w:pPr>
        <w:pStyle w:val="Heading1"/>
        <w:pageBreakBefore/>
      </w:pPr>
      <w:r>
        <w:t xml:space="preserve">1. Introduction</w:t>
      </w:r>
    </w:p>
    <w:p>
      <w:r>
        <w:t xml:space="preserve">A technologically capable incumbent may be large because scale reduces cost, supports expensive research, or improves reliability. A challenger must then offer something customers can use at the relevant quality and price. The existence of smaller hypothetical firms establishes little. Yet productive superiority and access advantage can coexist: a good service may also occupy the route through which alternatives must demonstrate that they are good.</w:t>
      </w:r>
    </w:p>
    <w:p>
      <w:r>
        <w:t xml:space="preserve">Contestability therefore requires separate questions about capability, entry incentives, and learning. Baumol (1982) made potential entry central to industry assessment. Sutton (1991) showed how endogenous sunk expenditure can sustain concentration as markets grow. Arthur (1989) analysed historical selection under increasing returns. Hayek (2002) treated competition as a discovery procedure. The framework here connects these questions to the comparison budget of Shadow Futures (Erlic, 2026), without treating productive scale as presumptive evidence of exclusion.</w:t>
      </w:r>
    </w:p>
    <w:p>
      <w:r>
        <w:t xml:space="preserve">The paper provides three conditional propositions: a capability bound on feasible provider counts, an exact launch-entry threshold, and a bound on remaining comparison after dominance. Their purpose is to organise a testable economic distinction, rather than assert a new general theory of industrial concentration. Entry expenditure, prices, innovation, and future entrants are not jointly solved in equilibrium. The modules isolate margins that such an equilibrium model would have to distinguish.</w:t>
      </w:r>
    </w:p>
    <w:p>
      <w:pPr>
        <w:pStyle w:val="Heading1"/>
      </w:pPr>
      <w:r>
        <w:t xml:space="preserve">2. Service Boundaries, Capability, and Scale</w:t>
      </w:r>
    </w:p>
    <w:p>
      <w:r>
        <w:t xml:space="preserve">Define a service boundary before counting providers. It specifies the tasks, customer population, geographic or organisational reach, response deadline, quality standard, and resource constraint under examination. A provider of a narrow application is not automatically a feasible substitute for an integrated service. Conversely, supplying an integrated service is not necessary to compete for every component task. The boundary determines which substitution and entry claims the model addresses; it is not a legal market definition inferred from concentration.</w:t>
      </w:r>
    </w:p>
    <w:p>
      <w:r>
        <w:t xml:space="preserve">Let </w:t>
      </w:r>
      <m:oMath>
        <m:sSub>
          <m:e>
            <m:r>
              <w:rPr>
                <w:rFonts w:ascii="Cambria Math" w:hAnsi="Cambria Math"/>
                <w:sz w:val="24"/>
              </w:rPr>
              <m:t>u</m:t>
            </m:r>
          </m:e>
          <m:sub>
            <m:r>
              <w:rPr>
                <w:rFonts w:ascii="Cambria Math" w:hAnsi="Cambria Math"/>
                <w:sz w:val="24"/>
              </w:rPr>
              <m:t>i</m:t>
            </m:r>
          </m:sub>
        </m:sSub>
      </m:oMath>
      <w:r>
        <w:t xml:space="preserve"> denote a verified scalar service index combining measured performance and normalised resource cost under declared task weights. This index is neither total social welfare nor proof of an agent's causal contribution to success. At an incumbent scale S, let</w:t>
      </w:r>
    </w:p>
    <w:p>
      <w:pPr>
        <w:keepLines/>
        <w:spacing w:line="240" w:lineRule="auto"/>
        <w:jc w:val="center"/>
      </w:pPr>
      <m:oMathPara>
        <m:oMath>
          <m:sSub>
            <m:e>
              <m:r>
                <w:rPr>
                  <w:rFonts w:ascii="Cambria Math" w:hAnsi="Cambria Math"/>
                  <w:sz w:val="24"/>
                </w:rPr>
                <m:t>u</m:t>
              </m:r>
            </m:e>
            <m:sub>
              <m:r>
                <w:rPr>
                  <w:rFonts w:ascii="Cambria Math" w:hAnsi="Cambria Math"/>
                  <w:sz w:val="24"/>
                </w:rPr>
                <m:t>I</m:t>
              </m:r>
            </m:sub>
          </m:sSub>
          <m:d>
            <m:dPr>
              <m:sepChr m:val=""/>
            </m:dPr>
            <m:e>
              <m:r>
                <w:rPr>
                  <w:rFonts w:ascii="Cambria Math" w:hAnsi="Cambria Math"/>
                  <w:sz w:val="24"/>
                </w:rPr>
                <m:t>S</m:t>
              </m:r>
            </m:e>
          </m:d>
          <m:r>
            <w:rPr>
              <w:rFonts w:ascii="Cambria Math" w:hAnsi="Cambria Math"/>
              <w:sz w:val="24"/>
            </w:rPr>
            <m:t>=</m:t>
          </m:r>
          <m:sSubSup>
            <m:e>
              <m:r>
                <w:rPr>
                  <w:rFonts w:ascii="Cambria Math" w:hAnsi="Cambria Math"/>
                  <w:sz w:val="24"/>
                </w:rPr>
                <m:t>u</m:t>
              </m:r>
            </m:e>
            <m:sub>
              <m:r>
                <w:rPr>
                  <w:rFonts w:ascii="Cambria Math" w:hAnsi="Cambria Math"/>
                  <w:sz w:val="24"/>
                </w:rPr>
                <m:t>I</m:t>
              </m:r>
            </m:sub>
            <m:sup>
              <m:r>
                <w:rPr>
                  <w:rFonts w:ascii="Cambria Math" w:hAnsi="Cambria Math"/>
                  <w:sz w:val="24"/>
                </w:rPr>
                <m:t>0</m:t>
              </m:r>
            </m:sup>
          </m:sSubSup>
          <m:r>
            <w:rPr>
              <w:rFonts w:ascii="Cambria Math" w:hAnsi="Cambria Math"/>
              <w:sz w:val="24"/>
            </w:rPr>
            <m:t>+G</m:t>
          </m:r>
          <m:d>
            <m:dPr>
              <m:sepChr m:val=""/>
            </m:dPr>
            <m:e>
              <m:r>
                <w:rPr>
                  <w:rFonts w:ascii="Cambria Math" w:hAnsi="Cambria Math"/>
                  <w:sz w:val="24"/>
                </w:rPr>
                <m:t>S</m:t>
              </m:r>
            </m:e>
          </m:d>
          <m:r>
            <w:rPr>
              <w:rFonts w:ascii="Cambria Math" w:hAnsi="Cambria Math"/>
              <w:sz w:val="24"/>
            </w:rPr>
            <m:t>,</m:t>
          </m:r>
          <m:r>
            <m:rPr>
              <m:nor/>
            </m:rPr>
            <w:rPr>
              <w:rFonts w:ascii="Cambria Math" w:hAnsi="Cambria Math"/>
              <w:sz w:val="24"/>
            </w:rPr>
            <m:t> </m:t>
          </m:r>
          <m:r>
            <w:rPr>
              <w:rFonts w:ascii="Cambria Math" w:hAnsi="Cambria Math"/>
              <w:sz w:val="24"/>
            </w:rPr>
            <m:t>G′</m:t>
          </m:r>
          <m:d>
            <m:dPr>
              <m:sepChr m:val=""/>
            </m:dPr>
            <m:e>
              <m:r>
                <w:rPr>
                  <w:rFonts w:ascii="Cambria Math" w:hAnsi="Cambria Math"/>
                  <w:sz w:val="24"/>
                </w:rPr>
                <m:t>S</m:t>
              </m:r>
            </m:e>
          </m:d>
          <m:r>
            <w:rPr>
              <w:rFonts w:ascii="Cambria Math" w:hAnsi="Cambria Math"/>
              <w:sz w:val="24"/>
            </w:rPr>
            <m:t>&gt;0,</m:t>
          </m:r>
          <m:r>
            <m:rPr>
              <m:nor/>
            </m:rPr>
            <w:rPr>
              <w:rFonts w:ascii="Cambria Math" w:hAnsi="Cambria Math"/>
              <w:sz w:val="24"/>
            </w:rPr>
            <m:t> </m:t>
          </m:r>
          <m:r>
            <w:rPr>
              <w:rFonts w:ascii="Cambria Math" w:hAnsi="Cambria Math"/>
              <w:sz w:val="24"/>
            </w:rPr>
            <m:t>G′′</m:t>
          </m:r>
          <m:d>
            <m:dPr>
              <m:sepChr m:val=""/>
            </m:dPr>
            <m:e>
              <m:r>
                <w:rPr>
                  <w:rFonts w:ascii="Cambria Math" w:hAnsi="Cambria Math"/>
                  <w:sz w:val="24"/>
                </w:rPr>
                <m:t>S</m:t>
              </m:r>
            </m:e>
          </m:d>
          <m:r>
            <w:rPr>
              <w:rFonts w:ascii="Cambria Math" w:hAnsi="Cambria Math"/>
              <w:sz w:val="24"/>
            </w:rPr>
            <m:t>≤0.</m:t>
          </m:r>
        </m:oMath>
      </m:oMathPara>
    </w:p>
    <w:p>
      <w:r>
        <w:t xml:space="preserve">The function G captures productive scale benefits within the stated boundary. Separate these from an initial access advantage A(S) ≥ 0, measured in allocation log-odds. Distribution arrangements, compatibility requirements, or accumulated customer relationships can enter A. Some may provide valuable assurance or coordination. Calling a component an access advantage does not establish that removing it would increase welfare.</w:t>
      </w:r>
    </w:p>
    <w:p>
      <w:r>
        <w:t xml:space="preserve">A qualified entrant meets the same technical and resource requirements as an incumbent for the service being tested. Qualification is an independently specified condition, not an inference from obtaining customers. Setup expenditure F includes real capability investment and the cost of satisfying justified service requirements. Comparing routes to entry must preserve these requirements and identify any genuine cost of changing access. Uncertainty about a candidate's capability may itself require a pilot; it cannot be resolved by assuming every unlaunched firm is competitive.</w:t>
      </w:r>
    </w:p>
    <w:p>
      <w:pPr>
        <w:pStyle w:val="Heading1"/>
      </w:pPr>
      <w:r>
        <w:t xml:space="preserve">3. A Capability Benchmark for Natural Oligopoly</w:t>
      </w:r>
    </w:p>
    <w:p>
      <w:r>
        <w:t xml:space="preserve">Consider M service opportunities and k symmetric qualified providers. Maintain a contribution margin m &gt; 0 per opportunity, equal expected shares, and capability expenditure F(M) = </w:t>
      </w:r>
      <m:oMath>
        <m:sSub>
          <m:e>
            <m:r>
              <w:rPr>
                <w:rFonts w:ascii="Cambria Math" w:hAnsi="Cambria Math"/>
                <w:sz w:val="24"/>
              </w:rPr>
              <m:t>F</m:t>
            </m:r>
          </m:e>
          <m:sub>
            <m:r>
              <w:rPr>
                <w:rFonts w:ascii="Cambria Math" w:hAnsi="Cambria Math"/>
                <w:sz w:val="24"/>
              </w:rPr>
              <m:t>0</m:t>
            </m:r>
          </m:sub>
        </m:sSub>
      </m:oMath>
      <w:r>
        <w:t xml:space="preserve"> + f M, where </w:t>
      </w:r>
      <m:oMath>
        <m:sSub>
          <m:e>
            <m:r>
              <w:rPr>
                <w:rFonts w:ascii="Cambria Math" w:hAnsi="Cambria Math"/>
                <w:sz w:val="24"/>
              </w:rPr>
              <m:t>F</m:t>
            </m:r>
          </m:e>
          <m:sub>
            <m:r>
              <w:rPr>
                <w:rFonts w:ascii="Cambria Math" w:hAnsi="Cambria Math"/>
                <w:sz w:val="24"/>
              </w:rPr>
              <m:t>0</m:t>
            </m:r>
          </m:sub>
        </m:sSub>
      </m:oMath>
      <w:r>
        <w:t xml:space="preserve"> &gt; 0 and f &gt; 0. The proportional term is an explicit reduced-form assumption: maintaining the relevant frontier requires expenditure that grows with the scale of the opportunity. It is not derived from strategic investment. This benchmark captures one implication of escalating capability requirements emphasised by Sutton (1991), while omitting his equilibrium mechanisms.</w:t>
      </w:r>
    </w:p>
    <w:p>
      <w:r>
        <w:t xml:space="preserve">Proposition 1 — Capability-limited provider counts. Under the benchmark assumptions, nonnegative expected operating surplus after capability expenditure requires</w:t>
      </w:r>
    </w:p>
    <w:p>
      <w:pPr>
        <w:keepLines/>
        <w:spacing w:line="240" w:lineRule="auto"/>
        <w:jc w:val="center"/>
      </w:pPr>
      <m:oMathPara>
        <m:oMath>
          <m:r>
            <w:rPr>
              <w:rFonts w:ascii="Cambria Math" w:hAnsi="Cambria Math"/>
              <w:sz w:val="24"/>
            </w:rPr>
            <m:t>k≤</m:t>
          </m:r>
          <m:acc>
            <m:accPr>
              <m:chr m:val="̅"/>
            </m:accPr>
            <m:e>
              <m:r>
                <w:rPr>
                  <w:rFonts w:ascii="Cambria Math" w:hAnsi="Cambria Math"/>
                  <w:sz w:val="24"/>
                </w:rPr>
                <m:t>k</m:t>
              </m:r>
            </m:e>
          </m:acc>
          <m:d>
            <m:dPr>
              <m:sepChr m:val=""/>
            </m:dPr>
            <m:e>
              <m:r>
                <w:rPr>
                  <w:rFonts w:ascii="Cambria Math" w:hAnsi="Cambria Math"/>
                  <w:sz w:val="24"/>
                </w:rPr>
                <m:t>M</m:t>
              </m:r>
            </m:e>
          </m:d>
          <m:r>
            <w:rPr>
              <w:rFonts w:ascii="Cambria Math" w:hAnsi="Cambria Math"/>
              <w:sz w:val="24"/>
            </w:rPr>
            <m:t>=</m:t>
          </m:r>
          <m:f>
            <m:fPr>
              <m:type m:val="bar"/>
            </m:fPr>
            <m:num>
              <m:r>
                <w:rPr>
                  <w:rFonts w:ascii="Cambria Math" w:hAnsi="Cambria Math"/>
                  <w:sz w:val="24"/>
                </w:rPr>
                <m:t>mM</m:t>
              </m:r>
            </m:num>
            <m:den>
              <m:sSub>
                <m:e>
                  <m:r>
                    <w:rPr>
                      <w:rFonts w:ascii="Cambria Math" w:hAnsi="Cambria Math"/>
                      <w:sz w:val="24"/>
                    </w:rPr>
                    <m:t>F</m:t>
                  </m:r>
                </m:e>
                <m:sub>
                  <m:r>
                    <w:rPr>
                      <w:rFonts w:ascii="Cambria Math" w:hAnsi="Cambria Math"/>
                      <w:sz w:val="24"/>
                    </w:rPr>
                    <m:t>0</m:t>
                  </m:r>
                </m:sub>
              </m:sSub>
              <m:r>
                <w:rPr>
                  <w:rFonts w:ascii="Cambria Math" w:hAnsi="Cambria Math"/>
                  <w:sz w:val="24"/>
                </w:rPr>
                <m:t>+fM</m:t>
              </m:r>
            </m:den>
          </m:f>
          <m:r>
            <w:rPr>
              <w:rFonts w:ascii="Cambria Math" w:hAnsi="Cambria Math"/>
              <w:sz w:val="24"/>
            </w:rPr>
            <m:t>.</m:t>
          </m:r>
        </m:oMath>
      </m:oMathPara>
    </w:p>
    <w:p>
      <w:r>
        <w:t xml:space="preserve">The bound increases with M but converges to m/f. Hence, where at least one provider is viable, an integer feasible provider count cannot exceed the integer part of </w:t>
      </w:r>
      <m:oMath>
        <m:acc>
          <m:accPr>
            <m:chr m:val="̅"/>
          </m:accPr>
          <m:e>
            <m:r>
              <w:rPr>
                <w:rFonts w:ascii="Cambria Math" w:hAnsi="Cambria Math"/>
                <w:sz w:val="24"/>
              </w:rPr>
              <m:t>k</m:t>
            </m:r>
          </m:e>
        </m:acc>
      </m:oMath>
      <w:r>
        <w:t xml:space="preserve">(M), even as opportunity expands without bound.</w:t>
      </w:r>
    </w:p>
    <w:p>
      <w:r>
        <w:t xml:space="preserve">Proof. Each provider receives expected contribution m M/k. Subtracting </w:t>
      </w:r>
      <m:oMath>
        <m:sSub>
          <m:e>
            <m:r>
              <w:rPr>
                <w:rFonts w:ascii="Cambria Math" w:hAnsi="Cambria Math"/>
                <w:sz w:val="24"/>
              </w:rPr>
              <m:t>F</m:t>
            </m:r>
          </m:e>
          <m:sub>
            <m:r>
              <w:rPr>
                <w:rFonts w:ascii="Cambria Math" w:hAnsi="Cambria Math"/>
                <w:sz w:val="24"/>
              </w:rPr>
              <m:t>0</m:t>
            </m:r>
          </m:sub>
        </m:sSub>
      </m:oMath>
      <w:r>
        <w:t xml:space="preserve"> + f M and imposing nonnegativity gives the inequality. Differentiation gives </w:t>
      </w:r>
      <m:oMath>
        <m:acc>
          <m:accPr>
            <m:chr m:val="̅"/>
          </m:accPr>
          <m:e>
            <m:r>
              <w:rPr>
                <w:rFonts w:ascii="Cambria Math" w:hAnsi="Cambria Math"/>
                <w:sz w:val="24"/>
              </w:rPr>
              <m:t>k</m:t>
            </m:r>
          </m:e>
        </m:acc>
      </m:oMath>
      <w:r>
        <w:t xml:space="preserve">'(M) = m </w:t>
      </w:r>
      <m:oMath>
        <m:sSub>
          <m:e>
            <m:r>
              <w:rPr>
                <w:rFonts w:ascii="Cambria Math" w:hAnsi="Cambria Math"/>
                <w:sz w:val="24"/>
              </w:rPr>
              <m:t>F</m:t>
            </m:r>
          </m:e>
          <m:sub>
            <m:r>
              <w:rPr>
                <w:rFonts w:ascii="Cambria Math" w:hAnsi="Cambria Math"/>
                <w:sz w:val="24"/>
              </w:rPr>
              <m:t>0</m:t>
            </m:r>
          </m:sub>
        </m:sSub>
      </m:oMath>
      <w:r>
        <w:t xml:space="preserve">/</w:t>
      </w:r>
      <m:oMath>
        <m:sSup>
          <m:e>
            <m:d>
              <m:dPr>
                <m:sepChr m:val=""/>
              </m:dPr>
              <m:e>
                <m:sSub>
                  <m:e>
                    <m:r>
                      <w:rPr>
                        <w:rFonts w:ascii="Cambria Math" w:hAnsi="Cambria Math"/>
                        <w:sz w:val="24"/>
                      </w:rPr>
                      <m:t>F</m:t>
                    </m:r>
                  </m:e>
                  <m:sub>
                    <m:r>
                      <w:rPr>
                        <w:rFonts w:ascii="Cambria Math" w:hAnsi="Cambria Math"/>
                        <w:sz w:val="24"/>
                      </w:rPr>
                      <m:t>0</m:t>
                    </m:r>
                  </m:sub>
                </m:sSub>
                <m:r>
                  <w:rPr>
                    <w:rFonts w:ascii="Cambria Math" w:hAnsi="Cambria Math"/>
                    <w:sz w:val="24"/>
                  </w:rPr>
                  <m:t>+fM</m:t>
                </m:r>
              </m:e>
            </m:d>
          </m:e>
          <m:sup>
            <m:r>
              <w:rPr>
                <w:rFonts w:ascii="Cambria Math" w:hAnsi="Cambria Math"/>
                <w:sz w:val="24"/>
              </w:rPr>
              <m:t>2</m:t>
            </m:r>
          </m:sup>
        </m:sSup>
      </m:oMath>
      <w:r>
        <w:t xml:space="preserve"> &gt; 0; division of numerator and denominator by M gives the limit. If f = 0 instead, the bound grows without limit. If </w:t>
      </w:r>
      <m:oMath>
        <m:acc>
          <m:accPr>
            <m:chr m:val="̅"/>
          </m:accPr>
          <m:e>
            <m:r>
              <w:rPr>
                <w:rFonts w:ascii="Cambria Math" w:hAnsi="Cambria Math"/>
                <w:sz w:val="24"/>
              </w:rPr>
              <m:t>k</m:t>
            </m:r>
          </m:e>
        </m:acc>
      </m:oMath>
      <w:r>
        <w:t xml:space="preserve">(M) &lt; 1, the maintained margin cannot finance even one qualified provider. □</w:t>
      </w:r>
    </w:p>
    <w:p>
      <w:r>
        <w:t xml:space="preserve">A bounded count can thus arise without access discrimination. Scale may support valuable capabilities while leaving room for only a few suppliers: natural oligopoly in this restricted feasibility sense. The proposition supplies neither a unique equilibrium count nor a claim that all technological industries follow this cost schedule. Endogenous prices, differentiated tasks, shared infrastructure, and a different expenditure response can change the conclusion. Treating concentration as sufficient evidence of exclusion would ignore precisely these alternatives.</w:t>
      </w:r>
    </w:p>
    <w:p>
      <w:pPr>
        <w:pStyle w:val="Heading1"/>
      </w:pPr>
      <w:r>
        <w:t xml:space="preserve">4. Productive Advantage and Suppressed Feasible Entry</w:t>
      </w:r>
    </w:p>
    <w:p>
      <w:r>
        <w:t xml:space="preserve">Now isolate one qualified entrant E and incumbent I at a launch decision. Let V &gt; 0 be the private gross value of winning a pivotal launch opportunity, with 0 &lt; F &lt; V. The launch is a finite, deliberately simplified project: the margin below is not the firm's full dynamic valuation. Let β &gt; 0 be the structural loading of the service index on choice, and write d = β[</w:t>
      </w:r>
      <m:oMath>
        <m:sSub>
          <m:e>
            <m:r>
              <w:rPr>
                <w:rFonts w:ascii="Cambria Math" w:hAnsi="Cambria Math"/>
                <w:sz w:val="24"/>
              </w:rPr>
              <m:t>u</m:t>
            </m:r>
          </m:e>
          <m:sub>
            <m:r>
              <w:rPr>
                <w:rFonts w:ascii="Cambria Math" w:hAnsi="Cambria Math"/>
                <w:sz w:val="24"/>
              </w:rPr>
              <m:t>E</m:t>
            </m:r>
          </m:sub>
        </m:sSub>
      </m:oMath>
      <w:r>
        <w:t xml:space="preserve"> − </w:t>
      </w:r>
      <m:oMath>
        <m:sSub>
          <m:e>
            <m:r>
              <w:rPr>
                <w:rFonts w:ascii="Cambria Math" w:hAnsi="Cambria Math"/>
                <w:sz w:val="24"/>
              </w:rPr>
              <m:t>u</m:t>
            </m:r>
          </m:e>
          <m:sub>
            <m:r>
              <w:rPr>
                <w:rFonts w:ascii="Cambria Math" w:hAnsi="Cambria Math"/>
                <w:sz w:val="24"/>
              </w:rPr>
              <m:t>I</m:t>
            </m:r>
          </m:sub>
        </m:sSub>
      </m:oMath>
      <w:r>
        <w:t xml:space="preserve">(S)]. Given access advantage A ≥ 0, the entrant's award probability and expected project surplus are</w:t>
      </w:r>
    </w:p>
    <w:p>
      <w:pPr>
        <w:keepLines/>
        <w:spacing w:line="240" w:lineRule="auto"/>
        <w:jc w:val="center"/>
      </w:pPr>
      <m:oMathPara>
        <m:oMath>
          <m:sSub>
            <m:e>
              <m:r>
                <w:rPr>
                  <w:rFonts w:ascii="Cambria Math" w:hAnsi="Cambria Math"/>
                  <w:sz w:val="24"/>
                </w:rPr>
                <m:t>q</m:t>
              </m:r>
            </m:e>
            <m:sub>
              <m:r>
                <w:rPr>
                  <w:rFonts w:ascii="Cambria Math" w:hAnsi="Cambria Math"/>
                  <w:sz w:val="24"/>
                </w:rPr>
                <m:t>E</m:t>
              </m:r>
            </m:sub>
          </m:sSub>
          <m:r>
            <w:rPr>
              <w:rFonts w:ascii="Cambria Math" w:hAnsi="Cambria Math"/>
              <w:sz w:val="24"/>
            </w:rPr>
            <m:t>=</m:t>
          </m:r>
          <m:f>
            <m:fPr>
              <m:type m:val="bar"/>
            </m:fPr>
            <m:num>
              <m:r>
                <w:rPr>
                  <w:rFonts w:ascii="Cambria Math" w:hAnsi="Cambria Math"/>
                  <w:sz w:val="24"/>
                </w:rPr>
                <m:t>1</m:t>
              </m:r>
            </m:num>
            <m:den>
              <m:r>
                <w:rPr>
                  <w:rFonts w:ascii="Cambria Math" w:hAnsi="Cambria Math"/>
                  <w:sz w:val="24"/>
                </w:rPr>
                <m:t>1+</m:t>
              </m:r>
              <m:r>
                <m:rPr>
                  <m:sty m:val="p"/>
                </m:rPr>
                <w:rPr>
                  <w:rFonts w:ascii="Cambria Math" w:hAnsi="Cambria Math"/>
                  <w:sz w:val="24"/>
                </w:rPr>
                <m:t>exp</m:t>
              </m:r>
              <m:d>
                <m:dPr>
                  <m:sepChr m:val=""/>
                </m:dPr>
                <m:e>
                  <m:r>
                    <w:rPr>
                      <w:rFonts w:ascii="Cambria Math" w:hAnsi="Cambria Math"/>
                      <w:sz w:val="24"/>
                    </w:rPr>
                    <m:t>A−d</m:t>
                  </m:r>
                </m:e>
              </m:d>
            </m:den>
          </m:f>
          <m:r>
            <w:rPr>
              <w:rFonts w:ascii="Cambria Math" w:hAnsi="Cambria Math"/>
              <w:sz w:val="24"/>
            </w:rPr>
            <m:t>,</m:t>
          </m:r>
          <m:r>
            <m:rPr>
              <m:nor/>
            </m:rPr>
            <w:rPr>
              <w:rFonts w:ascii="Cambria Math" w:hAnsi="Cambria Math"/>
              <w:sz w:val="24"/>
            </w:rPr>
            <m:t> </m:t>
          </m:r>
          <m:sSub>
            <m:e>
              <m:r>
                <w:rPr>
                  <w:rFonts w:ascii="Cambria Math" w:hAnsi="Cambria Math"/>
                  <w:sz w:val="24"/>
                </w:rPr>
                <m:t>Π</m:t>
              </m:r>
            </m:e>
            <m:sub>
              <m:r>
                <w:rPr>
                  <w:rFonts w:ascii="Cambria Math" w:hAnsi="Cambria Math"/>
                  <w:sz w:val="24"/>
                </w:rPr>
                <m:t>E</m:t>
              </m:r>
            </m:sub>
          </m:sSub>
          <m:r>
            <w:rPr>
              <w:rFonts w:ascii="Cambria Math" w:hAnsi="Cambria Math"/>
              <w:sz w:val="24"/>
            </w:rPr>
            <m:t>=V</m:t>
          </m:r>
          <m:sSub>
            <m:e>
              <m:r>
                <w:rPr>
                  <w:rFonts w:ascii="Cambria Math" w:hAnsi="Cambria Math"/>
                  <w:sz w:val="24"/>
                </w:rPr>
                <m:t>q</m:t>
              </m:r>
            </m:e>
            <m:sub>
              <m:r>
                <w:rPr>
                  <w:rFonts w:ascii="Cambria Math" w:hAnsi="Cambria Math"/>
                  <w:sz w:val="24"/>
                </w:rPr>
                <m:t>E</m:t>
              </m:r>
            </m:sub>
          </m:sSub>
          <m:r>
            <w:rPr>
              <w:rFonts w:ascii="Cambria Math" w:hAnsi="Cambria Math"/>
              <w:sz w:val="24"/>
            </w:rPr>
            <m:t>−F.</m:t>
          </m:r>
        </m:oMath>
      </m:oMathPara>
    </w:p>
    <w:p>
      <w:r>
        <w:t xml:space="preserve">Proposition 2 — The entry threshold and its access wedge. Define ℓ = log[F/(V − F)]. Entry is weakly privately viable exactly when d − A ≥ ℓ. The critical entrant service index is</w:t>
      </w:r>
    </w:p>
    <w:p>
      <w:pPr>
        <w:keepLines/>
        <w:spacing w:line="240" w:lineRule="auto"/>
        <w:jc w:val="center"/>
      </w:pPr>
      <m:oMathPara>
        <m:oMath>
          <m:sSubSup>
            <m:e>
              <m:r>
                <w:rPr>
                  <w:rFonts w:ascii="Cambria Math" w:hAnsi="Cambria Math"/>
                  <w:sz w:val="24"/>
                </w:rPr>
                <m:t>u</m:t>
              </m:r>
            </m:e>
            <m:sub>
              <m:r>
                <w:rPr>
                  <w:rFonts w:ascii="Cambria Math" w:hAnsi="Cambria Math"/>
                  <w:sz w:val="24"/>
                </w:rPr>
                <m:t>E</m:t>
              </m:r>
            </m:sub>
            <m:sup>
              <m:r>
                <m:rPr>
                  <m:sty m:val="p"/>
                </m:rPr>
                <w:rPr>
                  <w:rFonts w:ascii="Cambria Math" w:hAnsi="Cambria Math"/>
                  <w:sz w:val="24"/>
                </w:rPr>
                <m:t>crit</m:t>
              </m:r>
            </m:sup>
          </m:sSubSup>
          <m:d>
            <m:dPr>
              <m:sepChr m:val=""/>
            </m:dPr>
            <m:e>
              <m:r>
                <w:rPr>
                  <w:rFonts w:ascii="Cambria Math" w:hAnsi="Cambria Math"/>
                  <w:sz w:val="24"/>
                </w:rPr>
                <m:t>S,A</m:t>
              </m:r>
            </m:e>
          </m:d>
          <m:r>
            <w:rPr>
              <w:rFonts w:ascii="Cambria Math" w:hAnsi="Cambria Math"/>
              <w:sz w:val="24"/>
            </w:rPr>
            <m:t>=</m:t>
          </m:r>
          <m:sSub>
            <m:e>
              <m:r>
                <w:rPr>
                  <w:rFonts w:ascii="Cambria Math" w:hAnsi="Cambria Math"/>
                  <w:sz w:val="24"/>
                </w:rPr>
                <m:t>u</m:t>
              </m:r>
            </m:e>
            <m:sub>
              <m:r>
                <w:rPr>
                  <w:rFonts w:ascii="Cambria Math" w:hAnsi="Cambria Math"/>
                  <w:sz w:val="24"/>
                </w:rPr>
                <m:t>I</m:t>
              </m:r>
            </m:sub>
          </m:sSub>
          <m:d>
            <m:dPr>
              <m:sepChr m:val=""/>
            </m:dPr>
            <m:e>
              <m:r>
                <w:rPr>
                  <w:rFonts w:ascii="Cambria Math" w:hAnsi="Cambria Math"/>
                  <w:sz w:val="24"/>
                </w:rPr>
                <m:t>S</m:t>
              </m:r>
            </m:e>
          </m:d>
          <m:r>
            <w:rPr>
              <w:rFonts w:ascii="Cambria Math" w:hAnsi="Cambria Math"/>
              <w:sz w:val="24"/>
            </w:rPr>
            <m:t>+</m:t>
          </m:r>
          <m:f>
            <m:fPr>
              <m:type m:val="bar"/>
            </m:fPr>
            <m:num>
              <m:r>
                <w:rPr>
                  <w:rFonts w:ascii="Cambria Math" w:hAnsi="Cambria Math"/>
                  <w:sz w:val="24"/>
                </w:rPr>
                <m:t>A+ℓ</m:t>
              </m:r>
            </m:num>
            <m:den>
              <m:r>
                <w:rPr>
                  <w:rFonts w:ascii="Cambria Math" w:hAnsi="Cambria Math"/>
                  <w:sz w:val="24"/>
                </w:rPr>
                <m:t>β</m:t>
              </m:r>
            </m:den>
          </m:f>
          <m:r>
            <w:rPr>
              <w:rFonts w:ascii="Cambria Math" w:hAnsi="Cambria Math"/>
              <w:sz w:val="24"/>
            </w:rPr>
            <m:t>.</m:t>
          </m:r>
        </m:oMath>
      </m:oMathPara>
    </w:p>
    <w:p>
      <w:r>
        <w:t xml:space="preserve">Holding β, F, and V fixed, its partial derivative with respect to A is 1/β. If A also varies with scale, its derivative with respect to S is G'(S) + A'(S)/β. Under a feasible counterfactual that removes A while preserving productive quality and project costs, a qualified entrant becomes weakly viable from a strictly unviable actual position exactly when ℓ ≤ d &lt; ℓ + A.</w:t>
      </w:r>
    </w:p>
    <w:p>
      <w:r>
        <w:t xml:space="preserve">Proof. Nonnegative surplus requires </w:t>
      </w:r>
      <m:oMath>
        <m:sSub>
          <m:e>
            <m:r>
              <w:rPr>
                <w:rFonts w:ascii="Cambria Math" w:hAnsi="Cambria Math"/>
                <w:sz w:val="24"/>
              </w:rPr>
              <m:t>q</m:t>
            </m:r>
          </m:e>
          <m:sub>
            <m:r>
              <w:rPr>
                <w:rFonts w:ascii="Cambria Math" w:hAnsi="Cambria Math"/>
                <w:sz w:val="24"/>
              </w:rPr>
              <m:t>E</m:t>
            </m:r>
          </m:sub>
        </m:sSub>
      </m:oMath>
      <w:r>
        <w:t xml:space="preserve"> ≥ F/V. The logistic function is strictly increasing, and the log-odds of F/V equal ℓ. Inverting the probability therefore yields d − A ≥ ℓ. Substitution of d and differentiation give the threshold and comparative statics. Counterfactual viability requires d ≥ ℓ, whereas actual strict unviability requires d &lt; ℓ + A. Their intersection is the stated interval. □</w:t>
      </w:r>
    </w:p>
    <w:p>
      <w:r>
        <w:t xml:space="preserve">This interval defines suppressed feasible entry relative to a named access intervention. A candidate outside the qualification set cannot enter the diagnosis merely because access was changed. A qualified candidate with d &lt; ℓ remains privately unviable even under the specified open route. A candidate in the interval need not be superior on every service dimension; it meets the declared requirements and crosses an actual project threshold. Whether it improves welfare requires further evidence.</w:t>
      </w:r>
    </w:p>
    <w:p>
      <w:r>
        <w:t xml:space="preserve">Productive scale raises the threshold through G even when A is zero. Eliminating that benefit would manufacture a misleading comparison. The useful counterfactual preserves the incumbent's productive capabilities and changes a specified route to demonstration or adoption. If interoperability requires costly engineering, the modified F or V must enter the calculation. Where policy changes prices, trust, reliability, or the technology itself, the displayed interval must be recomputed rather than treated as an invariant exclusion measure.</w:t>
      </w:r>
    </w:p>
    <w:p>
      <w:pPr>
        <w:pStyle w:val="Heading1"/>
      </w:pPr>
      <w:r>
        <w:t xml:space="preserve">5. Static Entry and the Long-Run Comparison Budget</w:t>
      </w:r>
    </w:p>
    <w:p>
      <w:r>
        <w:t xml:space="preserve">A positive launch probability does not guarantee that a market will continue generating evidence about service effects. After a cohort has entered, fix n ≥ 2 candidates, their finite service indices </w:t>
      </w:r>
      <m:oMath>
        <m:sSub>
          <m:e>
            <m:r>
              <w:rPr>
                <w:rFonts w:ascii="Cambria Math" w:hAnsi="Cambria Math"/>
                <w:sz w:val="24"/>
              </w:rPr>
              <m:t>u</m:t>
            </m:r>
          </m:e>
          <m:sub>
            <m:r>
              <w:rPr>
                <w:rFonts w:ascii="Cambria Math" w:hAnsi="Cambria Math"/>
                <w:sz w:val="24"/>
              </w:rPr>
              <m:t>i</m:t>
            </m:r>
          </m:sub>
        </m:sSub>
      </m:oMath>
      <w:r>
        <w:t xml:space="preserve">, and their initial access indices </w:t>
      </w:r>
      <m:oMath>
        <m:sSub>
          <m:e>
            <m:r>
              <w:rPr>
                <w:rFonts w:ascii="Cambria Math" w:hAnsi="Cambria Math"/>
                <w:sz w:val="24"/>
              </w:rPr>
              <m:t>α</m:t>
            </m:r>
          </m:e>
          <m:sub>
            <m:r>
              <w:rPr>
                <w:rFonts w:ascii="Cambria Math" w:hAnsi="Cambria Math"/>
                <w:sz w:val="24"/>
              </w:rPr>
              <m:t>i</m:t>
            </m:r>
          </m:sub>
        </m:sSub>
      </m:oMath>
      <w:r>
        <w:t xml:space="preserve">. Let </w:t>
      </w:r>
      <m:oMath>
        <m:sSub>
          <m:e>
            <m:r>
              <w:rPr>
                <w:rFonts w:ascii="Cambria Math" w:hAnsi="Cambria Math"/>
                <w:sz w:val="24"/>
              </w:rPr>
              <m:t>N</m:t>
            </m:r>
          </m:e>
          <m:sub>
            <m:r>
              <w:rPr>
                <w:rFonts w:ascii="Cambria Math" w:hAnsi="Cambria Math"/>
                <w:sz w:val="24"/>
              </w:rPr>
              <m:t>i</m:t>
            </m:r>
          </m:sub>
        </m:sSub>
      </m:oMath>
      <w:r>
        <w:t xml:space="preserve">(t) count allocations received, a &gt; 0 be an initial reinforcement stock, and ρ &gt; 1. Consider</w:t>
      </w:r>
    </w:p>
    <w:p>
      <w:pPr>
        <w:keepLines/>
        <w:spacing w:line="240" w:lineRule="auto"/>
        <w:jc w:val="center"/>
      </w:pPr>
      <m:oMathPara>
        <m:oMath>
          <m:sSub>
            <m:e>
              <m:r>
                <w:rPr>
                  <w:rFonts w:ascii="Cambria Math" w:hAnsi="Cambria Math"/>
                  <w:sz w:val="24"/>
                </w:rPr>
                <m:t>p</m:t>
              </m:r>
            </m:e>
            <m:sub>
              <m:r>
                <w:rPr>
                  <w:rFonts w:ascii="Cambria Math" w:hAnsi="Cambria Math"/>
                  <w:sz w:val="24"/>
                </w:rPr>
                <m:t>it</m:t>
              </m:r>
            </m:sub>
          </m:sSub>
          <m:d>
            <m:dPr>
              <m:sepChr m:val=""/>
            </m:dPr>
            <m:e>
              <m:r>
                <w:rPr>
                  <w:rFonts w:ascii="Cambria Math" w:hAnsi="Cambria Math"/>
                  <w:sz w:val="24"/>
                </w:rPr>
                <m:t>β</m:t>
              </m:r>
            </m:e>
          </m:d>
          <m:r>
            <w:rPr>
              <w:rFonts w:ascii="Cambria Math" w:hAnsi="Cambria Math"/>
              <w:sz w:val="24"/>
            </w:rPr>
            <m:t>=</m:t>
          </m:r>
          <m:f>
            <m:fPr>
              <m:type m:val="bar"/>
            </m:fPr>
            <m:num>
              <m:r>
                <m:rPr>
                  <m:sty m:val="p"/>
                </m:rPr>
                <w:rPr>
                  <w:rFonts w:ascii="Cambria Math" w:hAnsi="Cambria Math"/>
                  <w:sz w:val="24"/>
                </w:rPr>
                <m:t>exp</m:t>
              </m:r>
              <m:d>
                <m:dPr>
                  <m:sepChr m:val=""/>
                </m:dPr>
                <m:e>
                  <m:r>
                    <w:rPr>
                      <w:rFonts w:ascii="Cambria Math" w:hAnsi="Cambria Math"/>
                      <w:sz w:val="24"/>
                    </w:rPr>
                    <m:t>β</m:t>
                  </m:r>
                  <m:sSub>
                    <m:e>
                      <m:r>
                        <w:rPr>
                          <w:rFonts w:ascii="Cambria Math" w:hAnsi="Cambria Math"/>
                          <w:sz w:val="24"/>
                        </w:rPr>
                        <m:t>u</m:t>
                      </m:r>
                    </m:e>
                    <m:sub>
                      <m:r>
                        <w:rPr>
                          <w:rFonts w:ascii="Cambria Math" w:hAnsi="Cambria Math"/>
                          <w:sz w:val="24"/>
                        </w:rPr>
                        <m:t>i</m:t>
                      </m:r>
                    </m:sub>
                  </m:sSub>
                  <m:r>
                    <w:rPr>
                      <w:rFonts w:ascii="Cambria Math" w:hAnsi="Cambria Math"/>
                      <w:sz w:val="24"/>
                    </w:rPr>
                    <m:t>+</m:t>
                  </m:r>
                  <m:sSub>
                    <m:e>
                      <m:r>
                        <w:rPr>
                          <w:rFonts w:ascii="Cambria Math" w:hAnsi="Cambria Math"/>
                          <w:sz w:val="24"/>
                        </w:rPr>
                        <m:t>α</m:t>
                      </m:r>
                    </m:e>
                    <m:sub>
                      <m:r>
                        <w:rPr>
                          <w:rFonts w:ascii="Cambria Math" w:hAnsi="Cambria Math"/>
                          <w:sz w:val="24"/>
                        </w:rPr>
                        <m:t>i</m:t>
                      </m:r>
                    </m:sub>
                  </m:sSub>
                </m:e>
              </m:d>
              <m:sSup>
                <m:e>
                  <m:d>
                    <m:dPr>
                      <m:sepChr m:val=""/>
                    </m:dPr>
                    <m:e>
                      <m:r>
                        <w:rPr>
                          <w:rFonts w:ascii="Cambria Math" w:hAnsi="Cambria Math"/>
                          <w:sz w:val="24"/>
                        </w:rPr>
                        <m:t>a+</m:t>
                      </m:r>
                      <m:sSub>
                        <m:e>
                          <m:r>
                            <w:rPr>
                              <w:rFonts w:ascii="Cambria Math" w:hAnsi="Cambria Math"/>
                              <w:sz w:val="24"/>
                            </w:rPr>
                            <m:t>N</m:t>
                          </m:r>
                        </m:e>
                        <m:sub>
                          <m:r>
                            <w:rPr>
                              <w:rFonts w:ascii="Cambria Math" w:hAnsi="Cambria Math"/>
                              <w:sz w:val="24"/>
                            </w:rPr>
                            <m:t>i</m:t>
                          </m:r>
                        </m:sub>
                      </m:sSub>
                      <m:d>
                        <m:dPr>
                          <m:sepChr m:val=""/>
                        </m:dPr>
                        <m:e>
                          <m:r>
                            <w:rPr>
                              <w:rFonts w:ascii="Cambria Math" w:hAnsi="Cambria Math"/>
                              <w:sz w:val="24"/>
                            </w:rPr>
                            <m:t>t</m:t>
                          </m:r>
                        </m:e>
                      </m:d>
                    </m:e>
                  </m:d>
                </m:e>
                <m:sup>
                  <m:r>
                    <w:rPr>
                      <w:rFonts w:ascii="Cambria Math" w:hAnsi="Cambria Math"/>
                      <w:sz w:val="24"/>
                    </w:rPr>
                    <m:t>ρ</m:t>
                  </m:r>
                </m:sup>
              </m:sSup>
            </m:num>
            <m:den>
              <m:nary>
                <m:naryPr>
                  <m:chr m:val="∑"/>
                  <m:limLoc m:val="subSup"/>
                  <m:grow m:val="1"/>
                  <m:subHide m:val="off"/>
                  <m:supHide m:val="on"/>
                </m:naryPr>
                <m:sub>
                  <m:r>
                    <w:rPr>
                      <w:rFonts w:ascii="Cambria Math" w:hAnsi="Cambria Math"/>
                      <w:sz w:val="24"/>
                    </w:rPr>
                    <m:t>j</m:t>
                  </m:r>
                </m:sub>
                <m:sup/>
                <m:e>
                  <m:r>
                    <m:rPr>
                      <m:sty m:val="p"/>
                    </m:rPr>
                    <w:rPr>
                      <w:rFonts w:ascii="Cambria Math" w:hAnsi="Cambria Math"/>
                      <w:sz w:val="24"/>
                    </w:rPr>
                    <m:t>exp</m:t>
                  </m:r>
                </m:e>
              </m:nary>
              <m:d>
                <m:dPr>
                  <m:sepChr m:val=""/>
                </m:dPr>
                <m:e>
                  <m:r>
                    <w:rPr>
                      <w:rFonts w:ascii="Cambria Math" w:hAnsi="Cambria Math"/>
                      <w:sz w:val="24"/>
                    </w:rPr>
                    <m:t>β</m:t>
                  </m:r>
                  <m:sSub>
                    <m:e>
                      <m:r>
                        <w:rPr>
                          <w:rFonts w:ascii="Cambria Math" w:hAnsi="Cambria Math"/>
                          <w:sz w:val="24"/>
                        </w:rPr>
                        <m:t>u</m:t>
                      </m:r>
                    </m:e>
                    <m:sub>
                      <m:r>
                        <w:rPr>
                          <w:rFonts w:ascii="Cambria Math" w:hAnsi="Cambria Math"/>
                          <w:sz w:val="24"/>
                        </w:rPr>
                        <m:t>j</m:t>
                      </m:r>
                    </m:sub>
                  </m:sSub>
                  <m:r>
                    <w:rPr>
                      <w:rFonts w:ascii="Cambria Math" w:hAnsi="Cambria Math"/>
                      <w:sz w:val="24"/>
                    </w:rPr>
                    <m:t>+</m:t>
                  </m:r>
                  <m:sSub>
                    <m:e>
                      <m:r>
                        <w:rPr>
                          <w:rFonts w:ascii="Cambria Math" w:hAnsi="Cambria Math"/>
                          <w:sz w:val="24"/>
                        </w:rPr>
                        <m:t>α</m:t>
                      </m:r>
                    </m:e>
                    <m:sub>
                      <m:r>
                        <w:rPr>
                          <w:rFonts w:ascii="Cambria Math" w:hAnsi="Cambria Math"/>
                          <w:sz w:val="24"/>
                        </w:rPr>
                        <m:t>j</m:t>
                      </m:r>
                    </m:sub>
                  </m:sSub>
                </m:e>
              </m:d>
              <m:sSup>
                <m:e>
                  <m:d>
                    <m:dPr>
                      <m:sepChr m:val=""/>
                    </m:dPr>
                    <m:e>
                      <m:r>
                        <w:rPr>
                          <w:rFonts w:ascii="Cambria Math" w:hAnsi="Cambria Math"/>
                          <w:sz w:val="24"/>
                        </w:rPr>
                        <m:t>a+</m:t>
                      </m:r>
                      <m:sSub>
                        <m:e>
                          <m:r>
                            <w:rPr>
                              <w:rFonts w:ascii="Cambria Math" w:hAnsi="Cambria Math"/>
                              <w:sz w:val="24"/>
                            </w:rPr>
                            <m:t>N</m:t>
                          </m:r>
                        </m:e>
                        <m:sub>
                          <m:r>
                            <w:rPr>
                              <w:rFonts w:ascii="Cambria Math" w:hAnsi="Cambria Math"/>
                              <w:sz w:val="24"/>
                            </w:rPr>
                            <m:t>j</m:t>
                          </m:r>
                        </m:sub>
                      </m:sSub>
                      <m:d>
                        <m:dPr>
                          <m:sepChr m:val=""/>
                        </m:dPr>
                        <m:e>
                          <m:r>
                            <w:rPr>
                              <w:rFonts w:ascii="Cambria Math" w:hAnsi="Cambria Math"/>
                              <w:sz w:val="24"/>
                            </w:rPr>
                            <m:t>t</m:t>
                          </m:r>
                        </m:e>
                      </m:d>
                    </m:e>
                  </m:d>
                </m:e>
                <m:sup>
                  <m:r>
                    <w:rPr>
                      <w:rFonts w:ascii="Cambria Math" w:hAnsi="Cambria Math"/>
                      <w:sz w:val="24"/>
                    </w:rPr>
                    <m:t>ρ</m:t>
                  </m:r>
                </m:sup>
              </m:sSup>
            </m:den>
          </m:f>
          <m:r>
            <w:rPr>
              <w:rFonts w:ascii="Cambria Math" w:hAnsi="Cambria Math"/>
              <w:sz w:val="24"/>
            </w:rPr>
            <m:t>.</m:t>
          </m:r>
        </m:oMath>
      </m:oMathPara>
    </w:p>
    <w:p>
      <w:r>
        <w:t xml:space="preserve">All finite-history probabilities are positive. Strong reinforcement nevertheless produces eventual monopoly in this finite weighted-urn setting: one randomly selected candidate receives every allocation after a finite random time. This is an established property of reinforced processes, not a new result here (Oliveira, 2009; Gottfried and Grosskinsky, 2024). It concerns feedback in access; it should not be equated with the productive function G.</w:t>
      </w:r>
    </w:p>
    <w:p>
      <w:r>
        <w:t xml:space="preserve">Define </w:t>
      </w:r>
      <m:oMath>
        <m:sSub>
          <m:e>
            <m:r>
              <w:rPr>
                <w:rFonts w:ascii="Cambria Math" w:hAnsi="Cambria Math"/>
                <w:sz w:val="24"/>
              </w:rPr>
              <m:t>ε</m:t>
            </m:r>
          </m:e>
          <m:sub>
            <m:r>
              <w:rPr>
                <w:rFonts w:ascii="Cambria Math" w:hAnsi="Cambria Math"/>
                <w:sz w:val="24"/>
              </w:rPr>
              <m:t>t</m:t>
            </m:r>
          </m:sub>
        </m:sSub>
      </m:oMath>
      <w:r>
        <w:t xml:space="preserve"> = 1 − </w:t>
      </w:r>
      <m:oMath>
        <m:sSub>
          <m:e>
            <m:r>
              <m:rPr>
                <m:sty m:val="p"/>
              </m:rPr>
              <w:rPr>
                <w:rFonts w:ascii="Cambria Math" w:hAnsi="Cambria Math"/>
                <w:sz w:val="24"/>
              </w:rPr>
              <m:t>max</m:t>
            </m:r>
          </m:e>
          <m:sub>
            <m:r>
              <w:rPr>
                <w:rFonts w:ascii="Cambria Math" w:hAnsi="Cambria Math"/>
                <w:sz w:val="24"/>
              </w:rPr>
              <m:t>i</m:t>
            </m:r>
          </m:sub>
        </m:sSub>
      </m:oMath>
      <w:r>
        <w:t xml:space="preserve"> </w:t>
      </w:r>
      <m:oMath>
        <m:sSub>
          <m:e>
            <m:r>
              <w:rPr>
                <w:rFonts w:ascii="Cambria Math" w:hAnsi="Cambria Math"/>
                <w:sz w:val="24"/>
              </w:rPr>
              <m:t>p</m:t>
            </m:r>
          </m:e>
          <m:sub>
            <m:r>
              <w:rPr>
                <w:rFonts w:ascii="Cambria Math" w:hAnsi="Cambria Math"/>
                <w:sz w:val="24"/>
              </w:rPr>
              <m:t>it</m:t>
            </m:r>
          </m:sub>
        </m:sSub>
      </m:oMath>
      <w:r>
        <w:t xml:space="preserve"> and the comparison budget as the sum of </w:t>
      </w:r>
      <m:oMath>
        <m:sSub>
          <m:e>
            <m:r>
              <w:rPr>
                <w:rFonts w:ascii="Cambria Math" w:hAnsi="Cambria Math"/>
                <w:sz w:val="24"/>
              </w:rPr>
              <m:t>ε</m:t>
            </m:r>
          </m:e>
          <m:sub>
            <m:r>
              <w:rPr>
                <w:rFonts w:ascii="Cambria Math" w:hAnsi="Cambria Math"/>
                <w:sz w:val="24"/>
              </w:rPr>
              <m:t>t</m:t>
            </m:r>
          </m:sub>
        </m:sSub>
      </m:oMath>
      <w:r>
        <w:t xml:space="preserve">. Proposition 3 — Remaining comparison after dominance. On a path after its last allocation to any loser, let w be the eventual winner, m its current allocation count, and </w:t>
      </w:r>
      <m:oMath>
        <m:sSub>
          <m:e>
            <m:r>
              <w:rPr>
                <w:rFonts w:ascii="Cambria Math" w:hAnsi="Cambria Math"/>
                <w:sz w:val="24"/>
              </w:rPr>
              <m:t>n</m:t>
            </m:r>
          </m:e>
          <m:sub>
            <m:r>
              <w:rPr>
                <w:rFonts w:ascii="Cambria Math" w:hAnsi="Cambria Math"/>
                <w:sz w:val="24"/>
              </w:rPr>
              <m:t>j</m:t>
            </m:r>
          </m:sub>
        </m:sSub>
      </m:oMath>
      <w:r>
        <w:t xml:space="preserve"> each loser's final count. Define</w:t>
      </w:r>
    </w:p>
    <w:p>
      <w:pPr>
        <w:keepLines/>
        <w:spacing w:line="240" w:lineRule="auto"/>
        <w:jc w:val="center"/>
      </w:pPr>
      <m:oMathPara>
        <m:oMath>
          <m:r>
            <w:rPr>
              <w:rFonts w:ascii="Cambria Math" w:hAnsi="Cambria Math"/>
              <w:sz w:val="24"/>
            </w:rPr>
            <m:t>C=</m:t>
          </m:r>
          <m:nary>
            <m:naryPr>
              <m:chr m:val="∑"/>
              <m:limLoc m:val="subSup"/>
              <m:grow m:val="1"/>
              <m:subHide m:val="off"/>
              <m:supHide m:val="on"/>
            </m:naryPr>
            <m:sub>
              <m:r>
                <w:rPr>
                  <w:rFonts w:ascii="Cambria Math" w:hAnsi="Cambria Math"/>
                  <w:sz w:val="24"/>
                </w:rPr>
                <m:t>j≠w</m:t>
              </m:r>
            </m:sub>
            <m:sup/>
            <m:e>
              <m:r>
                <m:rPr>
                  <m:sty m:val="p"/>
                </m:rPr>
                <w:rPr>
                  <w:rFonts w:ascii="Cambria Math" w:hAnsi="Cambria Math"/>
                  <w:sz w:val="24"/>
                </w:rPr>
                <m:t>exp</m:t>
              </m:r>
            </m:e>
          </m:nary>
          <m:d>
            <m:dPr>
              <m:begChr m:val="["/>
              <m:sepChr m:val=""/>
              <m:endChr m:val="]"/>
            </m:dPr>
            <m:e>
              <m:r>
                <w:rPr>
                  <w:rFonts w:ascii="Cambria Math" w:hAnsi="Cambria Math"/>
                  <w:sz w:val="24"/>
                </w:rPr>
                <m:t>β</m:t>
              </m:r>
              <m:d>
                <m:dPr>
                  <m:sepChr m:val=""/>
                </m:dPr>
                <m:e>
                  <m:sSub>
                    <m:e>
                      <m:r>
                        <w:rPr>
                          <w:rFonts w:ascii="Cambria Math" w:hAnsi="Cambria Math"/>
                          <w:sz w:val="24"/>
                        </w:rPr>
                        <m:t>u</m:t>
                      </m:r>
                    </m:e>
                    <m:sub>
                      <m:r>
                        <w:rPr>
                          <w:rFonts w:ascii="Cambria Math" w:hAnsi="Cambria Math"/>
                          <w:sz w:val="24"/>
                        </w:rPr>
                        <m:t>j</m:t>
                      </m:r>
                    </m:sub>
                  </m:sSub>
                  <m:r>
                    <w:rPr>
                      <w:rFonts w:ascii="Cambria Math" w:hAnsi="Cambria Math"/>
                      <w:sz w:val="24"/>
                    </w:rPr>
                    <m:t>−</m:t>
                  </m:r>
                  <m:sSub>
                    <m:e>
                      <m:r>
                        <w:rPr>
                          <w:rFonts w:ascii="Cambria Math" w:hAnsi="Cambria Math"/>
                          <w:sz w:val="24"/>
                        </w:rPr>
                        <m:t>u</m:t>
                      </m:r>
                    </m:e>
                    <m:sub>
                      <m:r>
                        <w:rPr>
                          <w:rFonts w:ascii="Cambria Math" w:hAnsi="Cambria Math"/>
                          <w:sz w:val="24"/>
                        </w:rPr>
                        <m:t>w</m:t>
                      </m:r>
                    </m:sub>
                  </m:sSub>
                </m:e>
              </m:d>
              <m:r>
                <w:rPr>
                  <w:rFonts w:ascii="Cambria Math" w:hAnsi="Cambria Math"/>
                  <w:sz w:val="24"/>
                </w:rPr>
                <m:t>+</m:t>
              </m:r>
              <m:sSub>
                <m:e>
                  <m:r>
                    <w:rPr>
                      <w:rFonts w:ascii="Cambria Math" w:hAnsi="Cambria Math"/>
                      <w:sz w:val="24"/>
                    </w:rPr>
                    <m:t>α</m:t>
                  </m:r>
                </m:e>
                <m:sub>
                  <m:r>
                    <w:rPr>
                      <w:rFonts w:ascii="Cambria Math" w:hAnsi="Cambria Math"/>
                      <w:sz w:val="24"/>
                    </w:rPr>
                    <m:t>j</m:t>
                  </m:r>
                </m:sub>
              </m:sSub>
              <m:r>
                <w:rPr>
                  <w:rFonts w:ascii="Cambria Math" w:hAnsi="Cambria Math"/>
                  <w:sz w:val="24"/>
                </w:rPr>
                <m:t>−</m:t>
              </m:r>
              <m:sSub>
                <m:e>
                  <m:r>
                    <w:rPr>
                      <w:rFonts w:ascii="Cambria Math" w:hAnsi="Cambria Math"/>
                      <w:sz w:val="24"/>
                    </w:rPr>
                    <m:t>α</m:t>
                  </m:r>
                </m:e>
                <m:sub>
                  <m:r>
                    <w:rPr>
                      <w:rFonts w:ascii="Cambria Math" w:hAnsi="Cambria Math"/>
                      <w:sz w:val="24"/>
                    </w:rPr>
                    <m:t>w</m:t>
                  </m:r>
                </m:sub>
              </m:sSub>
            </m:e>
          </m:d>
          <m:sSup>
            <m:e>
              <m:d>
                <m:dPr>
                  <m:sepChr m:val=""/>
                </m:dPr>
                <m:e>
                  <m:r>
                    <w:rPr>
                      <w:rFonts w:ascii="Cambria Math" w:hAnsi="Cambria Math"/>
                      <w:sz w:val="24"/>
                    </w:rPr>
                    <m:t>a+</m:t>
                  </m:r>
                  <m:sSub>
                    <m:e>
                      <m:r>
                        <w:rPr>
                          <w:rFonts w:ascii="Cambria Math" w:hAnsi="Cambria Math"/>
                          <w:sz w:val="24"/>
                        </w:rPr>
                        <m:t>n</m:t>
                      </m:r>
                    </m:e>
                    <m:sub>
                      <m:r>
                        <w:rPr>
                          <w:rFonts w:ascii="Cambria Math" w:hAnsi="Cambria Math"/>
                          <w:sz w:val="24"/>
                        </w:rPr>
                        <m:t>j</m:t>
                      </m:r>
                    </m:sub>
                  </m:sSub>
                </m:e>
              </m:d>
            </m:e>
            <m:sup>
              <m:r>
                <w:rPr>
                  <w:rFonts w:ascii="Cambria Math" w:hAnsi="Cambria Math"/>
                  <w:sz w:val="24"/>
                </w:rPr>
                <m:t>ρ</m:t>
              </m:r>
            </m:sup>
          </m:sSup>
          <m:r>
            <w:rPr>
              <w:rFonts w:ascii="Cambria Math" w:hAnsi="Cambria Math"/>
              <w:sz w:val="24"/>
            </w:rPr>
            <m:t>.</m:t>
          </m:r>
        </m:oMath>
      </m:oMathPara>
    </w:p>
    <w:p>
      <w:r>
        <w:t xml:space="preserve">The residual contestability k allocations later is at most C</w:t>
      </w:r>
      <m:oMath>
        <m:sSup>
          <m:e>
            <m:d>
              <m:dPr>
                <m:sepChr m:val=""/>
              </m:dPr>
              <m:e>
                <m:r>
                  <w:rPr>
                    <w:rFonts w:ascii="Cambria Math" w:hAnsi="Cambria Math"/>
                    <w:sz w:val="24"/>
                  </w:rPr>
                  <m:t>a+m+k</m:t>
                </m:r>
              </m:e>
            </m:d>
          </m:e>
          <m:sup>
            <m:r>
              <w:rPr>
                <w:rFonts w:ascii="Cambria Math" w:hAnsi="Cambria Math"/>
                <w:sz w:val="24"/>
              </w:rPr>
              <m:t>−ρ</m:t>
            </m:r>
          </m:sup>
        </m:sSup>
      </m:oMath>
      <w:r>
        <w:t xml:space="preserve">. Consequently the remaining budget obeys</w:t>
      </w:r>
    </w:p>
    <w:p>
      <w:pPr>
        <w:keepLines/>
        <w:spacing w:line="240" w:lineRule="auto"/>
        <w:jc w:val="center"/>
      </w:pPr>
      <m:oMathPara>
        <m:oMath>
          <m:sSub>
            <m:e>
              <m:r>
                <w:rPr>
                  <w:rFonts w:ascii="Cambria Math" w:hAnsi="Cambria Math"/>
                  <w:sz w:val="24"/>
                </w:rPr>
                <m:t>B</m:t>
              </m:r>
            </m:e>
            <m:sub>
              <m:r>
                <m:rPr>
                  <m:sty m:val="p"/>
                </m:rPr>
                <w:rPr>
                  <w:rFonts w:ascii="Cambria Math" w:hAnsi="Cambria Math"/>
                  <w:sz w:val="24"/>
                </w:rPr>
                <m:t>tail</m:t>
              </m:r>
            </m:sub>
          </m:sSub>
          <m:r>
            <w:rPr>
              <w:rFonts w:ascii="Cambria Math" w:hAnsi="Cambria Math"/>
              <w:sz w:val="24"/>
            </w:rPr>
            <m:t>≤C</m:t>
          </m:r>
          <m:d>
            <m:dPr>
              <m:begChr m:val="["/>
              <m:sepChr m:val=""/>
              <m:endChr m:val="]"/>
            </m:dPr>
            <m:e>
              <m:sSup>
                <m:e>
                  <m:d>
                    <m:dPr>
                      <m:sepChr m:val=""/>
                    </m:dPr>
                    <m:e>
                      <m:r>
                        <w:rPr>
                          <w:rFonts w:ascii="Cambria Math" w:hAnsi="Cambria Math"/>
                          <w:sz w:val="24"/>
                        </w:rPr>
                        <m:t>a+m</m:t>
                      </m:r>
                    </m:e>
                  </m:d>
                </m:e>
                <m:sup>
                  <m:r>
                    <w:rPr>
                      <w:rFonts w:ascii="Cambria Math" w:hAnsi="Cambria Math"/>
                      <w:sz w:val="24"/>
                    </w:rPr>
                    <m:t>−ρ</m:t>
                  </m:r>
                </m:sup>
              </m:sSup>
              <m:r>
                <w:rPr>
                  <w:rFonts w:ascii="Cambria Math" w:hAnsi="Cambria Math"/>
                  <w:sz w:val="24"/>
                </w:rPr>
                <m:t>+</m:t>
              </m:r>
              <m:f>
                <m:fPr>
                  <m:type m:val="bar"/>
                </m:fPr>
                <m:num>
                  <m:sSup>
                    <m:e>
                      <m:d>
                        <m:dPr>
                          <m:sepChr m:val=""/>
                        </m:dPr>
                        <m:e>
                          <m:r>
                            <w:rPr>
                              <w:rFonts w:ascii="Cambria Math" w:hAnsi="Cambria Math"/>
                              <w:sz w:val="24"/>
                            </w:rPr>
                            <m:t>a+m</m:t>
                          </m:r>
                        </m:e>
                      </m:d>
                    </m:e>
                    <m:sup>
                      <m:r>
                        <w:rPr>
                          <w:rFonts w:ascii="Cambria Math" w:hAnsi="Cambria Math"/>
                          <w:sz w:val="24"/>
                        </w:rPr>
                        <m:t>1−ρ</m:t>
                      </m:r>
                    </m:sup>
                  </m:sSup>
                </m:num>
                <m:den>
                  <m:r>
                    <w:rPr>
                      <w:rFonts w:ascii="Cambria Math" w:hAnsi="Cambria Math"/>
                      <w:sz w:val="24"/>
                    </w:rPr>
                    <m:t>ρ−1</m:t>
                  </m:r>
                </m:den>
              </m:f>
            </m:e>
          </m:d>
          <m:r>
            <w:rPr>
              <w:rFonts w:ascii="Cambria Math" w:hAnsi="Cambria Math"/>
              <w:sz w:val="24"/>
            </w:rPr>
            <m:t>.</m:t>
          </m:r>
        </m:oMath>
      </m:oMathPara>
    </w:p>
    <w:p>
      <w:r>
        <w:t xml:space="preserve">Proof. Relative loser-to-winner weight is C/</w:t>
      </w:r>
      <m:oMath>
        <m:sSup>
          <m:e>
            <m:d>
              <m:dPr>
                <m:sepChr m:val=""/>
              </m:dPr>
              <m:e>
                <m:r>
                  <w:rPr>
                    <w:rFonts w:ascii="Cambria Math" w:hAnsi="Cambria Math"/>
                    <w:sz w:val="24"/>
                  </w:rPr>
                  <m:t>a+m+k</m:t>
                </m:r>
              </m:e>
            </m:d>
          </m:e>
          <m:sup>
            <m:r>
              <w:rPr>
                <w:rFonts w:ascii="Cambria Math" w:hAnsi="Cambria Math"/>
                <w:sz w:val="24"/>
              </w:rPr>
              <m:t>ρ</m:t>
            </m:r>
          </m:sup>
        </m:sSup>
      </m:oMath>
      <w:r>
        <w:t xml:space="preserve">. The total loser probability is this ratio divided by one plus the ratio, and ε is no greater than that probability, even if the winner is not yet the probability leader. Summing the bound and applying the integral bound for a decreasing positive power function gives the displayed expression. □</w:t>
      </w:r>
    </w:p>
    <w:p>
      <w:r>
        <w:t xml:space="preserve">Only finitely many allocations precede this tail, so the complete budget is finite almost surely. With bounded service-index diameter D, conditional Fisher information about β is bounded by D² </w:t>
      </w:r>
      <m:oMath>
        <m:sSub>
          <m:e>
            <m:r>
              <w:rPr>
                <w:rFonts w:ascii="Cambria Math" w:hAnsi="Cambria Math"/>
                <w:sz w:val="24"/>
              </w:rPr>
              <m:t>ε</m:t>
            </m:r>
          </m:e>
          <m:sub>
            <m:r>
              <w:rPr>
                <w:rFonts w:ascii="Cambria Math" w:hAnsi="Cambria Math"/>
                <w:sz w:val="24"/>
              </w:rPr>
              <m:t>t</m:t>
            </m:r>
          </m:sub>
        </m:sSub>
      </m:oMath>
      <w:r>
        <w:t xml:space="preserve">. The Shadow Futures equivalence theorem then applies to this common fixed-cohort allocation experiment: no estimator of a nonconstant contribution functional is consistent at every admissible β from one complete history (Erlic, 2026). Productive differences can continue affecting allocation odds after the record ceases to supply unbounded comparative evidence.</w:t>
      </w:r>
    </w:p>
    <w:p>
      <w:r>
        <w:t xml:space="preserve">This conclusion requires the stated observation model. If observed quality responses, prices, or other outcomes contain additional parameter-dependent information, their laws must be included. An infinite comparison budget is insufficient for identification without informative variation. Nor does the fixed-cohort theorem already cover an unbounded succession of new firms, changing technology, or endogenous policy intervention. Those processes require a new joint model. The result identifies a possible failure of learning after entry, not the impossibility of entrepreneurial discovery in general.</w:t>
      </w:r>
    </w:p>
    <w:p>
      <w:pPr>
        <w:pStyle w:val="Heading1"/>
      </w:pPr>
      <w:r>
        <w:t xml:space="preserve">6. A Conditional Test for Competition Policy</w:t>
      </w:r>
    </w:p>
    <w:p>
      <w:r>
        <w:t xml:space="preserve">A policy assessment can begin at the service decision rather than with a concentration index. Specify the boundary, qualify actual candidates, and document an access component whose modification is technically feasible. Estimate the launch threshold using an independently justified choice model or controlled comparison. Preserve productive scale and record changed real costs. Proposition 2 then identifies which candidates cross the project margin under that intervention. Where the structural loading cannot be recovered from the existing history, report uncertainty or an identified range instead of an exact threshold.</w:t>
      </w:r>
    </w:p>
    <w:p>
      <w:r>
        <w:t xml:space="preserve">The next question concerns evidence. A trial route should generate comparisons relevant to a declared decision: choosing suppliers, evaluating input effects, or selecting a service design. Separate initial states and allocation shocks can provide independent histories under a common structural parameter. Randomly assigning work can also generate informative service responses, but assignments independent of β do not themselves identify β. Counting nominal suppliers, transactions, or forced exposures therefore does not establish an adequate learning experiment.</w:t>
      </w:r>
    </w:p>
    <w:p>
      <w:r>
        <w:t xml:space="preserve">Finally assess the costs and benefits of the intervention. Additional suppliers may duplicate capability expenditure or sacrifice network and coordination benefits. They may also improve service and reduce future decision errors through comparison. The relevant welfare calculation includes these real effects and the cost of obtaining evidence. Arrow's (1962) analysis of uncertainty and knowledge production explains why private returns need not exhaust that calculation; it does not supply the missing valuation here. A beneficial entry margin alone is not a sufficient welfare proof.</w:t>
      </w:r>
    </w:p>
    <w:p>
      <w:r>
        <w:t xml:space="preserve">The framework can therefore support a narrow interoperability pilot, procurement comparison, or shared testing facility without prescribing fragmentation of an efficient production technology. It can equally justify declining an intervention when no qualified candidate benefits or its costs exceed plausible gains. A Herfindahl–Hirschman index may describe realised shares, but it is not a primitive in these tests. Their conclusions remain conditional on the chosen service boundary, a defensible access counterfactual, and an observation model that counts all available information.</w:t>
      </w:r>
    </w:p>
    <w:p>
      <w:pPr>
        <w:pStyle w:val="Heading1"/>
      </w:pPr>
      <w:r>
        <w:t xml:space="preserve">7. Research Design and Conclusion</w:t>
      </w:r>
    </w:p>
    <w:p>
      <w:r>
        <w:t xml:space="preserve">A first empirical design would compare independently initialised service cohorts with the same qualified candidates and resource envelope. One arm retains the access arrangement; another changes a specified component while preserving capability requirements. Record quality, cost, uptake, reinforcement state, and the route through which each observation is generated. The immediate targets are the entry-margin shift and finite-horizon information gain, not an empirical declaration that an infinite-horizon budget is finite. Probabilities require independent estimation or justified bounds; observed shares alone are inadequate.</w:t>
      </w:r>
    </w:p>
    <w:p>
      <w:r>
        <w:t xml:space="preserve">Such experiments also separate incumbent innovation incentives from the production of comparison evidence. A supplier can conduct substantial research while an adoption route samples few independent alternatives. Learning may be preserved inside a concentrated production system through independent evaluation; many sellers sharing one feedback channel may preserve little of it. The relevant institutional unit is therefore the informative decision route within the specified service boundary.</w:t>
      </w:r>
    </w:p>
    <w:p>
      <w:r>
        <w:t xml:space="preserve">Technological scale can deliver better services and sustain a small feasible provider set. Policy still has reason to examine whether qualified entry is suppressed by a modifiable access advantage and whether subsequent allocation preserves informative comparison. The three propositions separate these questions. They make neither concentration nor entrepreneurial plurality a sufficient verdict and leave optimal intervention to an explicit welfare and evidence calculation.</w:t>
      </w:r>
    </w:p>
    <w:p>
      <w:pPr>
        <w:pStyle w:val="Heading1"/>
      </w:pPr>
      <w:r>
        <w:t xml:space="preserve">References</w:t>
      </w:r>
    </w:p>
    <w:p>
      <w:r>
        <w:t xml:space="preserve">Arrow, K. J. (1962). Economic welfare and the allocation of resources for invention. In The Rate and Direction of Inventive Activity: Economic and Social Factors, pp. 609–626. Princeton University Press.</w:t>
      </w:r>
    </w:p>
    <w:p>
      <w:r>
        <w:t xml:space="preserve">Arthur, W. B. (1989). Competing technologies, increasing returns, and lock-in by historical events. The Economic Journal, 99(394), 116–131. doi:10.2307/2234208.</w:t>
      </w:r>
    </w:p>
    <w:p>
      <w:r>
        <w:t xml:space="preserve">Baumol, W. J. (1982). Contestable markets: An uprising in the theory of industry structure. American Economic Review, 72(1), 1–15.</w:t>
      </w:r>
    </w:p>
    <w:p>
      <w:r>
        <w:t xml:space="preserve">Erlic, M. (2026). Shadow Futures: Contribution Uncertainty and the Self-Reinforcing Market. V5 author manuscript, October 2026. Associated public record: doi:10.2139/ssrn.6003994.</w:t>
      </w:r>
    </w:p>
    <w:p>
      <w:r>
        <w:t xml:space="preserve">Gottfried, T., and Grosskinsky, S. (2024). Asymptotics of generalized Pólya urns with non-linear feedback. Electronic Journal of Probability, 29, article 92, 1–56. doi:10.1214/24-EJP1157.</w:t>
      </w:r>
    </w:p>
    <w:p>
      <w:r>
        <w:t xml:space="preserve">Hayek, F. A. (2002). Competition as a discovery procedure. The Quarterly Journal of Austrian Economics, 5(3), 9–23. Translation of a 1968 lecture.</w:t>
      </w:r>
    </w:p>
    <w:p>
      <w:r>
        <w:t xml:space="preserve">Oliveira, R. I. (2009). The onset of dominance in balls-in-bins processes with feedback. Random Structures &amp; Algorithms, 34(4), 454–477. doi:10.1002/rsa.20261.</w:t>
      </w:r>
    </w:p>
    <w:p>
      <w:r>
        <w:t xml:space="preserve">Sutton, J. (1991). Sunk Costs and Market Structure: Price Competition, Advertising, and the Evolution of Concentration. MIT Press.</w:t>
      </w:r>
    </w:p>
    <w:sectPr w:rsidR="004D319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C6E87" w14:textId="77777777" w:rsidR="00170338" w:rsidRDefault="00170338">
      <w:pPr>
        <w:spacing w:line="240" w:lineRule="auto"/>
      </w:pPr>
      <w:r>
        <w:separator/>
      </w:r>
    </w:p>
  </w:endnote>
  <w:endnote w:type="continuationSeparator" w:id="0">
    <w:p w14:paraId="0E7A92F5" w14:textId="77777777" w:rsidR="00170338" w:rsidRDefault="001703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EABE8" w14:textId="77777777" w:rsidR="00170338" w:rsidRDefault="00170338">
      <w:r>
        <w:separator/>
      </w:r>
    </w:p>
  </w:footnote>
  <w:footnote w:type="continuationSeparator" w:id="0">
    <w:p w14:paraId="20ADC1BF" w14:textId="77777777" w:rsidR="00170338" w:rsidRDefault="001703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69003C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75C1470"/>
    <w:multiLevelType w:val="multilevel"/>
    <w:tmpl w:val="969A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8970C2"/>
    <w:multiLevelType w:val="multilevel"/>
    <w:tmpl w:val="0E6E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5D2B8C"/>
    <w:multiLevelType w:val="multilevel"/>
    <w:tmpl w:val="CE96F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B8755B"/>
    <w:multiLevelType w:val="multilevel"/>
    <w:tmpl w:val="CFE41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6E7183"/>
    <w:multiLevelType w:val="multilevel"/>
    <w:tmpl w:val="DDAA4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9035367">
    <w:abstractNumId w:val="3"/>
  </w:num>
  <w:num w:numId="2" w16cid:durableId="2047439166">
    <w:abstractNumId w:val="4"/>
  </w:num>
  <w:num w:numId="3" w16cid:durableId="1032194484">
    <w:abstractNumId w:val="2"/>
  </w:num>
  <w:num w:numId="4" w16cid:durableId="1449472817">
    <w:abstractNumId w:val="1"/>
  </w:num>
  <w:num w:numId="5" w16cid:durableId="307517141">
    <w:abstractNumId w:val="5"/>
  </w:num>
  <w:num w:numId="6" w16cid:durableId="538594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39A"/>
    <w:rsid w:val="00002D75"/>
    <w:rsid w:val="000034EE"/>
    <w:rsid w:val="00007C33"/>
    <w:rsid w:val="00020285"/>
    <w:rsid w:val="00032C5D"/>
    <w:rsid w:val="00033410"/>
    <w:rsid w:val="00046F18"/>
    <w:rsid w:val="000474BC"/>
    <w:rsid w:val="00061BA2"/>
    <w:rsid w:val="00063E81"/>
    <w:rsid w:val="00071B87"/>
    <w:rsid w:val="00083862"/>
    <w:rsid w:val="00091E8C"/>
    <w:rsid w:val="000A5ACB"/>
    <w:rsid w:val="000A62E2"/>
    <w:rsid w:val="000B6539"/>
    <w:rsid w:val="000C2750"/>
    <w:rsid w:val="000C710F"/>
    <w:rsid w:val="000D0454"/>
    <w:rsid w:val="000D4611"/>
    <w:rsid w:val="000D4F81"/>
    <w:rsid w:val="000E057F"/>
    <w:rsid w:val="000E2645"/>
    <w:rsid w:val="000E35F6"/>
    <w:rsid w:val="000E3921"/>
    <w:rsid w:val="000F26E2"/>
    <w:rsid w:val="00100D82"/>
    <w:rsid w:val="00105310"/>
    <w:rsid w:val="001150B8"/>
    <w:rsid w:val="00130087"/>
    <w:rsid w:val="0013386D"/>
    <w:rsid w:val="00144537"/>
    <w:rsid w:val="001512F0"/>
    <w:rsid w:val="00164E3D"/>
    <w:rsid w:val="00170338"/>
    <w:rsid w:val="00170900"/>
    <w:rsid w:val="00180CDD"/>
    <w:rsid w:val="0018295F"/>
    <w:rsid w:val="00191024"/>
    <w:rsid w:val="001942E2"/>
    <w:rsid w:val="001947A1"/>
    <w:rsid w:val="00195BFC"/>
    <w:rsid w:val="001A092D"/>
    <w:rsid w:val="001A112C"/>
    <w:rsid w:val="001A4E32"/>
    <w:rsid w:val="001B6E6E"/>
    <w:rsid w:val="001F75B5"/>
    <w:rsid w:val="00202E16"/>
    <w:rsid w:val="00206174"/>
    <w:rsid w:val="002160A4"/>
    <w:rsid w:val="00216A58"/>
    <w:rsid w:val="002203C7"/>
    <w:rsid w:val="00231839"/>
    <w:rsid w:val="00232479"/>
    <w:rsid w:val="00232ADA"/>
    <w:rsid w:val="00232C4B"/>
    <w:rsid w:val="00234A3A"/>
    <w:rsid w:val="00243DFA"/>
    <w:rsid w:val="0024636E"/>
    <w:rsid w:val="002629E0"/>
    <w:rsid w:val="00264EEF"/>
    <w:rsid w:val="00271A14"/>
    <w:rsid w:val="00282C11"/>
    <w:rsid w:val="00283929"/>
    <w:rsid w:val="00287963"/>
    <w:rsid w:val="00290440"/>
    <w:rsid w:val="00296E9E"/>
    <w:rsid w:val="00297955"/>
    <w:rsid w:val="002A3F3C"/>
    <w:rsid w:val="002B03A9"/>
    <w:rsid w:val="002B6E1A"/>
    <w:rsid w:val="002C3D6C"/>
    <w:rsid w:val="002C7F24"/>
    <w:rsid w:val="002D2B2D"/>
    <w:rsid w:val="002E1A0E"/>
    <w:rsid w:val="002E4075"/>
    <w:rsid w:val="002E5332"/>
    <w:rsid w:val="002E761E"/>
    <w:rsid w:val="003000B3"/>
    <w:rsid w:val="0030065D"/>
    <w:rsid w:val="00317EEA"/>
    <w:rsid w:val="003274A9"/>
    <w:rsid w:val="003322B1"/>
    <w:rsid w:val="0034382B"/>
    <w:rsid w:val="00351A0E"/>
    <w:rsid w:val="00360386"/>
    <w:rsid w:val="003628E2"/>
    <w:rsid w:val="0039194E"/>
    <w:rsid w:val="00391A1B"/>
    <w:rsid w:val="00394805"/>
    <w:rsid w:val="003C11B7"/>
    <w:rsid w:val="003C7C0F"/>
    <w:rsid w:val="003D22C8"/>
    <w:rsid w:val="003D3E09"/>
    <w:rsid w:val="003E64E8"/>
    <w:rsid w:val="003E73B9"/>
    <w:rsid w:val="003F3DD6"/>
    <w:rsid w:val="0040309B"/>
    <w:rsid w:val="00404572"/>
    <w:rsid w:val="00405BE8"/>
    <w:rsid w:val="00410F83"/>
    <w:rsid w:val="0041559C"/>
    <w:rsid w:val="004157C6"/>
    <w:rsid w:val="00420021"/>
    <w:rsid w:val="00436CC3"/>
    <w:rsid w:val="00443CF2"/>
    <w:rsid w:val="00447B14"/>
    <w:rsid w:val="0045706A"/>
    <w:rsid w:val="0045749A"/>
    <w:rsid w:val="00467F24"/>
    <w:rsid w:val="00470A7C"/>
    <w:rsid w:val="00475F0A"/>
    <w:rsid w:val="00477B2A"/>
    <w:rsid w:val="00477B78"/>
    <w:rsid w:val="004B3396"/>
    <w:rsid w:val="004B71D3"/>
    <w:rsid w:val="004B780D"/>
    <w:rsid w:val="004C2CDF"/>
    <w:rsid w:val="004C3CDD"/>
    <w:rsid w:val="004D3192"/>
    <w:rsid w:val="004D3544"/>
    <w:rsid w:val="004E2D79"/>
    <w:rsid w:val="004E33A9"/>
    <w:rsid w:val="004E6946"/>
    <w:rsid w:val="004F4486"/>
    <w:rsid w:val="004F5565"/>
    <w:rsid w:val="004F6DAC"/>
    <w:rsid w:val="005035A6"/>
    <w:rsid w:val="00506AB1"/>
    <w:rsid w:val="00523B76"/>
    <w:rsid w:val="0052452D"/>
    <w:rsid w:val="00535A5F"/>
    <w:rsid w:val="00552BC5"/>
    <w:rsid w:val="0055383D"/>
    <w:rsid w:val="00571F19"/>
    <w:rsid w:val="00581FEF"/>
    <w:rsid w:val="00595546"/>
    <w:rsid w:val="005A385A"/>
    <w:rsid w:val="005C1343"/>
    <w:rsid w:val="005C5B56"/>
    <w:rsid w:val="005E1BB5"/>
    <w:rsid w:val="005E4121"/>
    <w:rsid w:val="005E6942"/>
    <w:rsid w:val="005F344E"/>
    <w:rsid w:val="00607795"/>
    <w:rsid w:val="006114B0"/>
    <w:rsid w:val="00616075"/>
    <w:rsid w:val="00631251"/>
    <w:rsid w:val="00640FC1"/>
    <w:rsid w:val="00645B0D"/>
    <w:rsid w:val="00647976"/>
    <w:rsid w:val="00655FEB"/>
    <w:rsid w:val="00662567"/>
    <w:rsid w:val="00674B72"/>
    <w:rsid w:val="00675316"/>
    <w:rsid w:val="00684782"/>
    <w:rsid w:val="00691238"/>
    <w:rsid w:val="00692A71"/>
    <w:rsid w:val="00694F9F"/>
    <w:rsid w:val="00697061"/>
    <w:rsid w:val="006B192B"/>
    <w:rsid w:val="006B5FA6"/>
    <w:rsid w:val="006C4962"/>
    <w:rsid w:val="006C6924"/>
    <w:rsid w:val="006C7AA3"/>
    <w:rsid w:val="006D3FD8"/>
    <w:rsid w:val="006D7E0B"/>
    <w:rsid w:val="006F2DCB"/>
    <w:rsid w:val="00700D1B"/>
    <w:rsid w:val="00701BFC"/>
    <w:rsid w:val="007055B3"/>
    <w:rsid w:val="00706FEF"/>
    <w:rsid w:val="00707B00"/>
    <w:rsid w:val="00730BF9"/>
    <w:rsid w:val="0073449C"/>
    <w:rsid w:val="00735E5C"/>
    <w:rsid w:val="00755B0C"/>
    <w:rsid w:val="0076020E"/>
    <w:rsid w:val="00760326"/>
    <w:rsid w:val="0077080A"/>
    <w:rsid w:val="00777022"/>
    <w:rsid w:val="00784D73"/>
    <w:rsid w:val="00785E0D"/>
    <w:rsid w:val="00797DA2"/>
    <w:rsid w:val="007A3536"/>
    <w:rsid w:val="007A466C"/>
    <w:rsid w:val="007A4ADE"/>
    <w:rsid w:val="007C1E4E"/>
    <w:rsid w:val="007C3BC4"/>
    <w:rsid w:val="007C3E1C"/>
    <w:rsid w:val="007D375C"/>
    <w:rsid w:val="007D4922"/>
    <w:rsid w:val="007E1CEF"/>
    <w:rsid w:val="007E7B04"/>
    <w:rsid w:val="008078E9"/>
    <w:rsid w:val="00812DC1"/>
    <w:rsid w:val="00817820"/>
    <w:rsid w:val="008239D1"/>
    <w:rsid w:val="00852C48"/>
    <w:rsid w:val="00853DA5"/>
    <w:rsid w:val="00863A59"/>
    <w:rsid w:val="00864C8A"/>
    <w:rsid w:val="0086504A"/>
    <w:rsid w:val="00865288"/>
    <w:rsid w:val="0087274E"/>
    <w:rsid w:val="00875431"/>
    <w:rsid w:val="0087661D"/>
    <w:rsid w:val="00884D5B"/>
    <w:rsid w:val="00893553"/>
    <w:rsid w:val="008970A8"/>
    <w:rsid w:val="008A16EA"/>
    <w:rsid w:val="008A1893"/>
    <w:rsid w:val="008B5C94"/>
    <w:rsid w:val="008B7456"/>
    <w:rsid w:val="008C6603"/>
    <w:rsid w:val="008E58F0"/>
    <w:rsid w:val="008E6804"/>
    <w:rsid w:val="009077FF"/>
    <w:rsid w:val="0094023D"/>
    <w:rsid w:val="00941570"/>
    <w:rsid w:val="009559FA"/>
    <w:rsid w:val="009575C6"/>
    <w:rsid w:val="009647AE"/>
    <w:rsid w:val="00971586"/>
    <w:rsid w:val="00975151"/>
    <w:rsid w:val="009850D7"/>
    <w:rsid w:val="00991108"/>
    <w:rsid w:val="009949DE"/>
    <w:rsid w:val="009B7F85"/>
    <w:rsid w:val="009C32DA"/>
    <w:rsid w:val="009D15B1"/>
    <w:rsid w:val="009F1246"/>
    <w:rsid w:val="00A109F0"/>
    <w:rsid w:val="00A131CE"/>
    <w:rsid w:val="00A25FD9"/>
    <w:rsid w:val="00A332AA"/>
    <w:rsid w:val="00A33BE3"/>
    <w:rsid w:val="00A3797B"/>
    <w:rsid w:val="00A46B90"/>
    <w:rsid w:val="00A5346B"/>
    <w:rsid w:val="00A6600D"/>
    <w:rsid w:val="00A6700C"/>
    <w:rsid w:val="00A74F21"/>
    <w:rsid w:val="00A76ACD"/>
    <w:rsid w:val="00A80199"/>
    <w:rsid w:val="00A82310"/>
    <w:rsid w:val="00A87063"/>
    <w:rsid w:val="00A93143"/>
    <w:rsid w:val="00A979DA"/>
    <w:rsid w:val="00AA0D0B"/>
    <w:rsid w:val="00AA577E"/>
    <w:rsid w:val="00AB04FF"/>
    <w:rsid w:val="00AB0E53"/>
    <w:rsid w:val="00AB4058"/>
    <w:rsid w:val="00AB55BA"/>
    <w:rsid w:val="00AC203E"/>
    <w:rsid w:val="00AE0905"/>
    <w:rsid w:val="00AE63E6"/>
    <w:rsid w:val="00B013A4"/>
    <w:rsid w:val="00B04D94"/>
    <w:rsid w:val="00B10A85"/>
    <w:rsid w:val="00B12562"/>
    <w:rsid w:val="00B14DD4"/>
    <w:rsid w:val="00B15719"/>
    <w:rsid w:val="00B37D64"/>
    <w:rsid w:val="00B51AB1"/>
    <w:rsid w:val="00B52A16"/>
    <w:rsid w:val="00B532F9"/>
    <w:rsid w:val="00B53632"/>
    <w:rsid w:val="00B62F9E"/>
    <w:rsid w:val="00B74351"/>
    <w:rsid w:val="00B76E8F"/>
    <w:rsid w:val="00B832BF"/>
    <w:rsid w:val="00B9387A"/>
    <w:rsid w:val="00BA21C1"/>
    <w:rsid w:val="00BA7BD3"/>
    <w:rsid w:val="00BC08CF"/>
    <w:rsid w:val="00BC66C8"/>
    <w:rsid w:val="00BD46F6"/>
    <w:rsid w:val="00BD4D79"/>
    <w:rsid w:val="00BE1085"/>
    <w:rsid w:val="00BE2A34"/>
    <w:rsid w:val="00BE416C"/>
    <w:rsid w:val="00BE5076"/>
    <w:rsid w:val="00BF2E9C"/>
    <w:rsid w:val="00BF3627"/>
    <w:rsid w:val="00BF396F"/>
    <w:rsid w:val="00C074B7"/>
    <w:rsid w:val="00C200EF"/>
    <w:rsid w:val="00C21694"/>
    <w:rsid w:val="00C218A9"/>
    <w:rsid w:val="00C32121"/>
    <w:rsid w:val="00C326A1"/>
    <w:rsid w:val="00C35230"/>
    <w:rsid w:val="00C41D14"/>
    <w:rsid w:val="00C42113"/>
    <w:rsid w:val="00C55F58"/>
    <w:rsid w:val="00C56749"/>
    <w:rsid w:val="00C6589C"/>
    <w:rsid w:val="00C77282"/>
    <w:rsid w:val="00C824E6"/>
    <w:rsid w:val="00C8275A"/>
    <w:rsid w:val="00C82956"/>
    <w:rsid w:val="00C832BD"/>
    <w:rsid w:val="00C84A84"/>
    <w:rsid w:val="00C90DB5"/>
    <w:rsid w:val="00C95F51"/>
    <w:rsid w:val="00C968BB"/>
    <w:rsid w:val="00CA46B9"/>
    <w:rsid w:val="00CA4E68"/>
    <w:rsid w:val="00CA7235"/>
    <w:rsid w:val="00CB3674"/>
    <w:rsid w:val="00CB3FAB"/>
    <w:rsid w:val="00CB6945"/>
    <w:rsid w:val="00CD0CBF"/>
    <w:rsid w:val="00CD2267"/>
    <w:rsid w:val="00CE0D1E"/>
    <w:rsid w:val="00CE1566"/>
    <w:rsid w:val="00CE6412"/>
    <w:rsid w:val="00CE644B"/>
    <w:rsid w:val="00CE75B3"/>
    <w:rsid w:val="00CF2579"/>
    <w:rsid w:val="00D000AA"/>
    <w:rsid w:val="00D10599"/>
    <w:rsid w:val="00D17EAD"/>
    <w:rsid w:val="00D23C9C"/>
    <w:rsid w:val="00D24C69"/>
    <w:rsid w:val="00D33977"/>
    <w:rsid w:val="00D36F9B"/>
    <w:rsid w:val="00D378FC"/>
    <w:rsid w:val="00D60107"/>
    <w:rsid w:val="00D72CCD"/>
    <w:rsid w:val="00D82777"/>
    <w:rsid w:val="00D842A3"/>
    <w:rsid w:val="00D8440A"/>
    <w:rsid w:val="00D84444"/>
    <w:rsid w:val="00D92E62"/>
    <w:rsid w:val="00DC3B3E"/>
    <w:rsid w:val="00DC42E6"/>
    <w:rsid w:val="00DC5955"/>
    <w:rsid w:val="00DC5A36"/>
    <w:rsid w:val="00DD6220"/>
    <w:rsid w:val="00DE07AD"/>
    <w:rsid w:val="00DF0030"/>
    <w:rsid w:val="00E007BF"/>
    <w:rsid w:val="00E008D7"/>
    <w:rsid w:val="00E01139"/>
    <w:rsid w:val="00E01991"/>
    <w:rsid w:val="00E036E5"/>
    <w:rsid w:val="00E11F5D"/>
    <w:rsid w:val="00E2689C"/>
    <w:rsid w:val="00E349A7"/>
    <w:rsid w:val="00E35C23"/>
    <w:rsid w:val="00E42650"/>
    <w:rsid w:val="00E4639A"/>
    <w:rsid w:val="00E47A7D"/>
    <w:rsid w:val="00E50326"/>
    <w:rsid w:val="00E6371B"/>
    <w:rsid w:val="00E70240"/>
    <w:rsid w:val="00E718D9"/>
    <w:rsid w:val="00E76C54"/>
    <w:rsid w:val="00E77783"/>
    <w:rsid w:val="00E8210C"/>
    <w:rsid w:val="00E91961"/>
    <w:rsid w:val="00E9681D"/>
    <w:rsid w:val="00EA1E2B"/>
    <w:rsid w:val="00EA31BB"/>
    <w:rsid w:val="00EB449E"/>
    <w:rsid w:val="00EB6028"/>
    <w:rsid w:val="00EC2550"/>
    <w:rsid w:val="00EC362E"/>
    <w:rsid w:val="00EC5B07"/>
    <w:rsid w:val="00ED0F91"/>
    <w:rsid w:val="00EE795E"/>
    <w:rsid w:val="00EF0ABE"/>
    <w:rsid w:val="00F067F4"/>
    <w:rsid w:val="00F10852"/>
    <w:rsid w:val="00F21AEF"/>
    <w:rsid w:val="00F232B5"/>
    <w:rsid w:val="00F4026C"/>
    <w:rsid w:val="00F41883"/>
    <w:rsid w:val="00F4480E"/>
    <w:rsid w:val="00F566B3"/>
    <w:rsid w:val="00F67082"/>
    <w:rsid w:val="00F72F5A"/>
    <w:rsid w:val="00F75B3B"/>
    <w:rsid w:val="00F93D69"/>
    <w:rsid w:val="00FA4D3C"/>
    <w:rsid w:val="00FB3ABB"/>
    <w:rsid w:val="00FB3C3E"/>
    <w:rsid w:val="00FE0AB7"/>
    <w:rsid w:val="00FE2A05"/>
    <w:rsid w:val="00FE5469"/>
    <w:rsid w:val="00FF1D23"/>
    <w:rsid w:val="00FF5D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D8AC0"/>
  <w15:docId w15:val="{FC62B2C2-8CBD-4FD4-80DB-09C1B30AB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480" w:lineRule="auto"/>
    </w:pPr>
    <w:rPr>
      <w:rFonts w:ascii="Times New Roman" w:eastAsia="Times New Roman" w:hAnsi="Times New Roman"/>
    </w:rPr>
  </w:style>
  <w:style w:type="paragraph" w:styleId="Heading1">
    <w:name w:val="heading 1"/>
    <w:basedOn w:val="Normal"/>
    <w:next w:val="Normal"/>
    <w:link w:val="Heading1Char"/>
    <w:uiPriority w:val="9"/>
    <w:qFormat/>
    <w:rsid w:val="00AE0905"/>
    <w:pPr>
      <w:keepNext/>
      <w:keepLines/>
      <w:spacing w:before="360" w:after="80"/>
      <w:outlineLvl w:val="0"/>
    </w:pPr>
    <w:rPr>
      <w:rFonts w:eastAsiaTheme="majorEastAsia" w:cs="Times New Roman"/>
      <w:b/>
      <w:bCs/>
      <w:color w:val="000000"/>
    </w:rPr>
  </w:style>
  <w:style w:type="paragraph" w:styleId="Heading2">
    <w:name w:val="heading 2"/>
    <w:basedOn w:val="Normal"/>
    <w:next w:val="Normal"/>
    <w:link w:val="Heading2Char"/>
    <w:uiPriority w:val="9"/>
    <w:unhideWhenUsed/>
    <w:qFormat/>
    <w:rsid w:val="00467F24"/>
    <w:pPr>
      <w:keepNext/>
      <w:keepLines/>
      <w:spacing w:before="200" w:after="80"/>
      <w:outlineLvl w:val="1"/>
    </w:pPr>
    <w:rPr>
      <w:rFonts w:eastAsiaTheme="majorEastAsia" w:cs="Times New Roman"/>
      <w:b/>
      <w:bCs/>
      <w:color w:val="000000"/>
    </w:rPr>
  </w:style>
  <w:style w:type="paragraph" w:styleId="Heading3">
    <w:name w:val="heading 3"/>
    <w:basedOn w:val="Normal"/>
    <w:next w:val="Normal"/>
    <w:link w:val="Heading3Char"/>
    <w:uiPriority w:val="9"/>
    <w:semiHidden/>
    <w:unhideWhenUsed/>
    <w:qFormat/>
    <w:rsid w:val="00E4639A"/>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E463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63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639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39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39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39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905"/>
    <w:rPr>
      <w:rFonts w:ascii="Times New Roman" w:eastAsiaTheme="majorEastAsia" w:hAnsi="Times New Roman" w:cs="Times New Roman"/>
      <w:b/>
      <w:bCs/>
      <w:color w:val="0F4761" w:themeColor="accent1" w:themeShade="BF"/>
    </w:rPr>
  </w:style>
  <w:style w:type="character" w:customStyle="1" w:styleId="Heading2Char">
    <w:name w:val="Heading 2 Char"/>
    <w:basedOn w:val="DefaultParagraphFont"/>
    <w:link w:val="Heading2"/>
    <w:uiPriority w:val="9"/>
    <w:rsid w:val="00467F24"/>
    <w:rPr>
      <w:rFonts w:ascii="Times New Roman" w:eastAsiaTheme="majorEastAsia" w:hAnsi="Times New Roman" w:cs="Times New Roman"/>
      <w:b/>
      <w:bCs/>
      <w:color w:val="0F4761" w:themeColor="accent1" w:themeShade="BF"/>
    </w:rPr>
  </w:style>
  <w:style w:type="character" w:customStyle="1" w:styleId="Heading3Char">
    <w:name w:val="Heading 3 Char"/>
    <w:basedOn w:val="DefaultParagraphFont"/>
    <w:link w:val="Heading3"/>
    <w:uiPriority w:val="9"/>
    <w:semiHidden/>
    <w:rsid w:val="00E463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63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63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63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3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3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39A"/>
    <w:rPr>
      <w:rFonts w:eastAsiaTheme="majorEastAsia" w:cstheme="majorBidi"/>
      <w:color w:val="272727" w:themeColor="text1" w:themeTint="D8"/>
    </w:rPr>
  </w:style>
  <w:style w:type="paragraph" w:styleId="Title">
    <w:name w:val="Title"/>
    <w:basedOn w:val="Normal"/>
    <w:next w:val="Normal"/>
    <w:link w:val="TitleChar"/>
    <w:uiPriority w:val="10"/>
    <w:qFormat/>
    <w:rsid w:val="00E4639A"/>
    <w:pPr>
      <w:spacing w:after="0" w:line="240" w:lineRule="auto" w:before="0"/>
      <w:contextualSpacing/>
    </w:pPr>
    <w:rPr>
      <w:rFonts w:ascii="Times New Roman" w:hAnsi="Times New Roman" w:eastAsia="Times New Roman" w:cs="Times New Roman"/>
      <w:b/>
      <w:color w:val="000000"/>
      <w:sz w:val="28"/>
      <w:szCs w:val="28"/>
    </w:rPr>
  </w:style>
  <w:style w:type="character" w:customStyle="1" w:styleId="TitleChar">
    <w:name w:val="Title Char"/>
    <w:basedOn w:val="DefaultParagraphFont"/>
    <w:link w:val="Title"/>
    <w:uiPriority w:val="10"/>
    <w:rsid w:val="00E463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3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3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39A"/>
    <w:pPr>
      <w:spacing w:before="160"/>
      <w:jc w:val="center"/>
    </w:pPr>
    <w:rPr>
      <w:i/>
      <w:iCs/>
      <w:color w:val="404040" w:themeColor="text1" w:themeTint="BF"/>
    </w:rPr>
  </w:style>
  <w:style w:type="character" w:customStyle="1" w:styleId="QuoteChar">
    <w:name w:val="Quote Char"/>
    <w:basedOn w:val="DefaultParagraphFont"/>
    <w:link w:val="Quote"/>
    <w:uiPriority w:val="29"/>
    <w:rsid w:val="00E4639A"/>
    <w:rPr>
      <w:i/>
      <w:iCs/>
      <w:color w:val="404040" w:themeColor="text1" w:themeTint="BF"/>
    </w:rPr>
  </w:style>
  <w:style w:type="paragraph" w:styleId="ListParagraph">
    <w:name w:val="List Paragraph"/>
    <w:basedOn w:val="Normal"/>
    <w:uiPriority w:val="34"/>
    <w:qFormat/>
    <w:rsid w:val="00E4639A"/>
    <w:pPr>
      <w:ind w:left="720"/>
      <w:contextualSpacing/>
    </w:pPr>
  </w:style>
  <w:style w:type="character" w:styleId="IntenseEmphasis">
    <w:name w:val="Intense Emphasis"/>
    <w:basedOn w:val="DefaultParagraphFont"/>
    <w:uiPriority w:val="21"/>
    <w:qFormat/>
    <w:rsid w:val="00E4639A"/>
    <w:rPr>
      <w:i/>
      <w:iCs/>
      <w:color w:val="0F4761" w:themeColor="accent1" w:themeShade="BF"/>
    </w:rPr>
  </w:style>
  <w:style w:type="paragraph" w:styleId="IntenseQuote">
    <w:name w:val="Intense Quote"/>
    <w:basedOn w:val="Normal"/>
    <w:next w:val="Normal"/>
    <w:link w:val="IntenseQuoteChar"/>
    <w:uiPriority w:val="30"/>
    <w:qFormat/>
    <w:rsid w:val="00E463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639A"/>
    <w:rPr>
      <w:i/>
      <w:iCs/>
      <w:color w:val="0F4761" w:themeColor="accent1" w:themeShade="BF"/>
    </w:rPr>
  </w:style>
  <w:style w:type="character" w:styleId="IntenseReference">
    <w:name w:val="Intense Reference"/>
    <w:basedOn w:val="DefaultParagraphFont"/>
    <w:uiPriority w:val="32"/>
    <w:qFormat/>
    <w:rsid w:val="00E4639A"/>
    <w:rPr>
      <w:b/>
      <w:bCs/>
      <w:smallCaps/>
      <w:color w:val="0F4761" w:themeColor="accent1" w:themeShade="BF"/>
      <w:spacing w:val="5"/>
    </w:rPr>
  </w:style>
  <w:style w:type="paragraph" w:styleId="Header">
    <w:name w:val="header"/>
    <w:basedOn w:val="Normal"/>
    <w:link w:val="HeaderChar"/>
    <w:uiPriority w:val="99"/>
    <w:unhideWhenUsed/>
    <w:rsid w:val="00F566B3"/>
    <w:pPr>
      <w:tabs>
        <w:tab w:val="center" w:pos="4680"/>
        <w:tab w:val="right" w:pos="9360"/>
      </w:tabs>
      <w:spacing w:line="240" w:lineRule="auto"/>
    </w:pPr>
  </w:style>
  <w:style w:type="character" w:customStyle="1" w:styleId="HeaderChar">
    <w:name w:val="Header Char"/>
    <w:basedOn w:val="DefaultParagraphFont"/>
    <w:link w:val="Header"/>
    <w:uiPriority w:val="99"/>
    <w:rsid w:val="00F566B3"/>
  </w:style>
  <w:style w:type="paragraph" w:styleId="Footer">
    <w:name w:val="footer"/>
    <w:basedOn w:val="Normal"/>
    <w:link w:val="FooterChar"/>
    <w:uiPriority w:val="99"/>
    <w:unhideWhenUsed/>
    <w:rsid w:val="00F566B3"/>
    <w:pPr>
      <w:tabs>
        <w:tab w:val="center" w:pos="4680"/>
        <w:tab w:val="right" w:pos="9360"/>
      </w:tabs>
      <w:spacing w:line="240" w:lineRule="auto"/>
    </w:pPr>
  </w:style>
  <w:style w:type="character" w:customStyle="1" w:styleId="FooterChar">
    <w:name w:val="Footer Char"/>
    <w:basedOn w:val="DefaultParagraphFont"/>
    <w:link w:val="Footer"/>
    <w:uiPriority w:val="99"/>
    <w:rsid w:val="00F566B3"/>
  </w:style>
  <w:style w:type="character" w:styleId="PlaceholderText">
    <w:name w:val="Placeholder Text"/>
    <w:basedOn w:val="DefaultParagraphFont"/>
    <w:uiPriority w:val="99"/>
    <w:semiHidden/>
    <w:rsid w:val="00071B87"/>
    <w:rPr>
      <w:color w:val="666666"/>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customStyle="1" w:styleId="KeywordTok0">
    <w:name w:val="KeywordTok"/>
    <w:rPr>
      <w:b/>
      <w:color w:val="007020"/>
    </w:rPr>
  </w:style>
  <w:style w:type="character" w:customStyle="1" w:styleId="DataTypeTok0">
    <w:name w:val="DataTypeTok"/>
    <w:rPr>
      <w:color w:val="902000"/>
    </w:rPr>
  </w:style>
  <w:style w:type="character" w:customStyle="1" w:styleId="DecValTok0">
    <w:name w:val="DecValTok"/>
    <w:rPr>
      <w:color w:val="40A070"/>
    </w:rPr>
  </w:style>
  <w:style w:type="character" w:customStyle="1" w:styleId="BaseNTok0">
    <w:name w:val="BaseNTok"/>
    <w:rPr>
      <w:color w:val="40A070"/>
    </w:rPr>
  </w:style>
  <w:style w:type="character" w:customStyle="1" w:styleId="FloatTok0">
    <w:name w:val="FloatTok"/>
    <w:rPr>
      <w:color w:val="40A070"/>
    </w:rPr>
  </w:style>
  <w:style w:type="character" w:customStyle="1" w:styleId="ConstantTok0">
    <w:name w:val="ConstantTok"/>
    <w:rPr>
      <w:color w:val="880000"/>
    </w:rPr>
  </w:style>
  <w:style w:type="character" w:customStyle="1" w:styleId="CharTok0">
    <w:name w:val="CharTok"/>
    <w:rPr>
      <w:color w:val="4070A0"/>
    </w:rPr>
  </w:style>
  <w:style w:type="character" w:customStyle="1" w:styleId="SpecialCharTok0">
    <w:name w:val="SpecialCharTok"/>
    <w:rPr>
      <w:color w:val="4070A0"/>
    </w:rPr>
  </w:style>
  <w:style w:type="character" w:customStyle="1" w:styleId="StringTok0">
    <w:name w:val="StringTok"/>
    <w:rPr>
      <w:color w:val="4070A0"/>
    </w:rPr>
  </w:style>
  <w:style w:type="character" w:customStyle="1" w:styleId="VerbatimStringTok0">
    <w:name w:val="VerbatimStringTok"/>
    <w:rPr>
      <w:color w:val="4070A0"/>
    </w:rPr>
  </w:style>
  <w:style w:type="character" w:customStyle="1" w:styleId="SpecialStringTok0">
    <w:name w:val="SpecialStringTok"/>
    <w:rPr>
      <w:color w:val="BB6688"/>
    </w:rPr>
  </w:style>
  <w:style w:type="character" w:customStyle="1" w:styleId="ImportTok0">
    <w:name w:val="ImportTok"/>
    <w:rPr>
      <w:b/>
      <w:color w:val="008000"/>
    </w:rPr>
  </w:style>
  <w:style w:type="character" w:customStyle="1" w:styleId="CommentTok0">
    <w:name w:val="CommentTok"/>
    <w:rPr>
      <w:i/>
      <w:color w:val="60A0B0"/>
    </w:rPr>
  </w:style>
  <w:style w:type="character" w:customStyle="1" w:styleId="DocumentationTok0">
    <w:name w:val="DocumentationTok"/>
    <w:rPr>
      <w:i/>
      <w:color w:val="BA2121"/>
    </w:rPr>
  </w:style>
  <w:style w:type="character" w:customStyle="1" w:styleId="AnnotationTok0">
    <w:name w:val="AnnotationTok"/>
    <w:rPr>
      <w:b/>
      <w:i/>
      <w:color w:val="60A0B0"/>
    </w:rPr>
  </w:style>
  <w:style w:type="character" w:customStyle="1" w:styleId="CommentVarTok0">
    <w:name w:val="CommentVarTok"/>
    <w:rPr>
      <w:b/>
      <w:i/>
      <w:color w:val="60A0B0"/>
    </w:rPr>
  </w:style>
  <w:style w:type="character" w:customStyle="1" w:styleId="OtherTok0">
    <w:name w:val="OtherTok"/>
    <w:rPr>
      <w:color w:val="007020"/>
    </w:rPr>
  </w:style>
  <w:style w:type="character" w:customStyle="1" w:styleId="FunctionTok0">
    <w:name w:val="FunctionTok"/>
    <w:rPr>
      <w:color w:val="06287E"/>
    </w:rPr>
  </w:style>
  <w:style w:type="character" w:customStyle="1" w:styleId="VariableTok0">
    <w:name w:val="VariableTok"/>
    <w:rPr>
      <w:color w:val="19177C"/>
    </w:rPr>
  </w:style>
  <w:style w:type="character" w:customStyle="1" w:styleId="ControlFlowTok0">
    <w:name w:val="ControlFlowTok"/>
    <w:rPr>
      <w:b/>
      <w:color w:val="007020"/>
    </w:rPr>
  </w:style>
  <w:style w:type="character" w:customStyle="1" w:styleId="OperatorTok0">
    <w:name w:val="OperatorTok"/>
    <w:rPr>
      <w:color w:val="666666"/>
    </w:rPr>
  </w:style>
  <w:style w:type="character" w:customStyle="1" w:styleId="BuiltInTok0">
    <w:name w:val="BuiltInTok"/>
    <w:rPr>
      <w:color w:val="008000"/>
    </w:rPr>
  </w:style>
  <w:style w:type="character" w:customStyle="1" w:styleId="ExtensionTok0">
    <w:name w:val="ExtensionTok"/>
  </w:style>
  <w:style w:type="character" w:customStyle="1" w:styleId="PreprocessorTok0">
    <w:name w:val="PreprocessorTok"/>
    <w:rPr>
      <w:color w:val="BC7A00"/>
    </w:rPr>
  </w:style>
  <w:style w:type="character" w:customStyle="1" w:styleId="AttributeTok0">
    <w:name w:val="AttributeTok"/>
    <w:rPr>
      <w:color w:val="7D9029"/>
    </w:rPr>
  </w:style>
  <w:style w:type="character" w:customStyle="1" w:styleId="RegionMarkerTok0">
    <w:name w:val="RegionMarkerTok"/>
  </w:style>
  <w:style w:type="character" w:customStyle="1" w:styleId="InformationTok0">
    <w:name w:val="InformationTok"/>
    <w:rPr>
      <w:b/>
      <w:i/>
      <w:color w:val="60A0B0"/>
    </w:rPr>
  </w:style>
  <w:style w:type="character" w:customStyle="1" w:styleId="WarningTok0">
    <w:name w:val="WarningTok"/>
    <w:rPr>
      <w:b/>
      <w:i/>
      <w:color w:val="60A0B0"/>
    </w:rPr>
  </w:style>
  <w:style w:type="character" w:customStyle="1" w:styleId="AlertTok0">
    <w:name w:val="AlertTok"/>
    <w:rPr>
      <w:b/>
      <w:color w:val="FF0000"/>
    </w:rPr>
  </w:style>
  <w:style w:type="character" w:customStyle="1" w:styleId="ErrorTok0">
    <w:name w:val="ErrorTok"/>
    <w:rPr>
      <w:b/>
      <w:color w:val="FF0000"/>
    </w:rPr>
  </w:style>
  <w:style w:type="character" w:customStyle="1" w:styleId="NormalTok0">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4779</Words>
  <Characters>29439</Characters>
  <Application>Microsoft Office Word</Application>
  <DocSecurity>0</DocSecurity>
  <Lines>498</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Shadow Futures: Contribution Uncertainty and the Self-Reinforcing Market</dc:title>
  <dc:subject>Comparison budgets, single-history attribution, and self-reinforcing markets</dc:subject>
  <dc:creator>Martin Erlic</dc:creator>
  <cp:keywords>increasing returns; path dependence; identification; cumulative advantage; monopoly; antitrust; taxation; redistribution</cp:keywords>
  <dc:description>Concise main article with complete technical appendix.</dc:description>
  <cp:lastModifiedBy>Martin Erlic</cp:lastModifiedBy>
  <cp:revision>2</cp:revision>
  <cp:lastPrinted>2026-07-22T01:38:00Z</cp:lastPrinted>
  <dcterms:created xsi:type="dcterms:W3CDTF">2026-07-22T01:45:00Z</dcterms:created>
  <dcterms:modified xsi:type="dcterms:W3CDTF">2026-10-08T12:00:00Z</dcterms:modified>
</cp:coreProperties>
</file>