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spacing w:line="240" w:lineRule="auto"/>
        <w:jc w:val="center"/>
      </w:pPr>
      <w:r>
        <w:rPr>
          <w:rFonts w:ascii="Times New Roman" w:hAnsi="Times New Roman"/>
          <w:b/>
          <w:sz w:val="28"/>
        </w:rPr>
        <w:t xml:space="preserve">Measuring Comparison Opportunities in Adaptive Markets</w:t>
      </w:r>
    </w:p>
    <w:p>
      <w:pPr>
        <w:keepNext/>
        <w:spacing w:line="240" w:lineRule="auto"/>
        <w:jc w:val="center"/>
      </w:pPr>
      <w:r>
        <w:t xml:space="preserve">Martin Erlic</w:t>
      </w:r>
    </w:p>
    <w:p>
      <w:pPr>
        <w:keepNext/>
        <w:spacing w:after="240" w:line="240" w:lineRule="auto"/>
        <w:jc w:val="center"/>
      </w:pPr>
      <w:r>
        <w:rPr>
          <w:i/>
          <w:sz w:val="20"/>
        </w:rPr>
        <w:t xml:space="preserve">October 2026 · Research draft</w:t>
      </w:r>
    </w:p>
    <w:p>
      <w:pPr>
        <w:keepNext/>
      </w:pPr>
      <w:r>
        <w:rPr>
          <w:b/>
        </w:rPr>
        <w:t xml:space="preserve">Abstract</w:t>
      </w:r>
    </w:p>
    <w:p>
      <w:r>
        <w:t xml:space="preserve">How can an economist measure the comparisons preserved by a market whose allocations depend on its own history? This paper develops a measurement protocol for the comparison budget introduced in Shadow Futures. The protocol separates known exposure policies from unknown structural responses, specifies the joint observation kernel, and treats allocation probabilities as quantities requiring independent justification. A large budget is an opportunity for information, not a certificate of identification; a finite record cannot establish an infinite-horizon summability condition. We propose finite-horizon likelihood comparisons, probability bounds, and sensitivity regions that include feedback and uncertainty about the allocation mechanism. A reproducible synthetic benchmark compares one reinforced history with independent short markets using identical transaction totals and the exact likelihood-ratio classifier. In 10,000 balanced simulations, classification error remains about 23 percent after 8,192 allocations along one history, while repeated sixteen-allocation markets yield no observed errors, with a positive Monte Carlo upper bound. A uniform-allocation negative control has a large budget and zero information. The results illustrate measurement discipline and experimental design rather than establish an empirical diagnosis of any actual market.</w:t>
      </w:r>
    </w:p>
    <w:p>
      <w:r>
        <w:t xml:space="preserve">Keywords: comparison budget, adaptive markets, identification, sequential data, counterfactual evaluation, independent replication.</w:t>
      </w:r>
    </w:p>
    <w:p>
      <w:r>
        <w:t xml:space="preserve">JEL codes: C13, C18, C22, C93, D83, L41.</w:t>
      </w:r>
    </w:p>
    <w:p>
      <w:pPr>
        <w:pStyle w:val="Heading1"/>
        <w:pageBreakBefore/>
      </w:pPr>
      <w:r>
        <w:t xml:space="preserve">1. Introduction</w:t>
      </w:r>
    </w:p>
    <w:p>
      <w:r>
        <w:t xml:space="preserve">An administrative record can expand without preserving the variation needed to explain its outcomes. In a recommendation market, early clicks affect later exposure; in procurement, early awards affect capacity and eligibility. The relevant measurement question is whether later observations continue to distinguish the specified alternatives. Transaction count, market concentration, and the number of nominal suppliers each describe part of the environment, but none alone answers that question.</w:t>
      </w:r>
    </w:p>
    <w:p>
      <w:r>
        <w:t xml:space="preserve">Shadow Futures defines residual contestability as the conditional allocation probability outside the current leader and sums it into a comparison budget (Erlic, 2026). Under its conditional-logit assumptions, this budget bounds accumulated Fisher information. Under Hellinger domination and almost-sure summability conditions, distinct parameter laws remain equivalent on the complete history. These are statements about a specified statistical experiment. An economist cannot establish their applicability by looking at a concentrated market share and labeling it a small budget.</w:t>
      </w:r>
    </w:p>
    <w:p>
      <w:r>
        <w:t xml:space="preserve">This paper supplies an applied measurement framework. It specifies what must be observed, distinguishes exposure opportunities from structural information, and proposes finite-horizon reporting when probabilities or mechanisms are uncertain. A small synthetic experiment demonstrates why independent comparison histories can outperform additional transactions on an inherited path. The objective is a transparent diagnosis of the information available for a defined estimand, without presenting a universal competition index or a new general identification theorem.</w:t>
      </w:r>
    </w:p>
    <w:p>
      <w:pPr>
        <w:pStyle w:val="Heading1"/>
      </w:pPr>
      <w:r>
        <w:t xml:space="preserve">2. The Observation Model Comes First</w:t>
      </w:r>
    </w:p>
    <w:p>
      <w:r>
        <w:t xml:space="preserve">Let h denote the recorded past, A an exposure or allocation decision, and Y the observed response. For discrete outcomes, write the next-observation kernel as follows; for continuous responses, r is a density with respect to a specified dominating measure.</w:t>
      </w:r>
    </w:p>
    <w:p>
      <w:pPr>
        <w:keepLines/>
        <w:spacing w:line="240" w:lineRule="auto"/>
        <w:jc w:val="center"/>
      </w:pPr>
      <m:oMathPara>
        <m:oMath>
          <m:sSub>
            <m:e>
              <m:r>
                <w:rPr>
                  <w:rFonts w:ascii="Cambria Math" w:hAnsi="Cambria Math"/>
                  <w:sz w:val="24"/>
                </w:rPr>
                <m:t>k</m:t>
              </m:r>
            </m:e>
            <m:sub>
              <m:r>
                <w:rPr>
                  <w:rFonts w:ascii="Cambria Math" w:hAnsi="Cambria Math"/>
                  <w:sz w:val="24"/>
                </w:rPr>
                <m:t>β</m:t>
              </m:r>
            </m:sub>
          </m:sSub>
          <m:d>
            <m:dPr>
              <m:sepChr m:val=""/>
            </m:dPr>
            <m:e>
              <m:r>
                <w:rPr>
                  <w:rFonts w:ascii="Cambria Math" w:hAnsi="Cambria Math"/>
                  <w:sz w:val="24"/>
                </w:rPr>
                <m:t>a,y∣h</m:t>
              </m:r>
            </m:e>
          </m:d>
          <m:r>
            <w:rPr>
              <w:rFonts w:ascii="Cambria Math" w:hAnsi="Cambria Math"/>
              <w:sz w:val="24"/>
            </w:rPr>
            <m:t>=π</m:t>
          </m:r>
          <m:d>
            <m:dPr>
              <m:sepChr m:val=""/>
            </m:dPr>
            <m:e>
              <m:r>
                <w:rPr>
                  <w:rFonts w:ascii="Cambria Math" w:hAnsi="Cambria Math"/>
                  <w:sz w:val="24"/>
                </w:rPr>
                <m:t>a∣h</m:t>
              </m:r>
            </m:e>
          </m:d>
          <m:sSub>
            <m:e>
              <m:r>
                <w:rPr>
                  <w:rFonts w:ascii="Cambria Math" w:hAnsi="Cambria Math"/>
                  <w:sz w:val="24"/>
                </w:rPr>
                <m:t>r</m:t>
              </m:r>
            </m:e>
            <m:sub>
              <m:r>
                <w:rPr>
                  <w:rFonts w:ascii="Cambria Math" w:hAnsi="Cambria Math"/>
                  <w:sz w:val="24"/>
                </w:rPr>
                <m:t>β</m:t>
              </m:r>
            </m:sub>
          </m:sSub>
          <m:d>
            <m:dPr>
              <m:sepChr m:val=""/>
            </m:dPr>
            <m:e>
              <m:r>
                <w:rPr>
                  <w:rFonts w:ascii="Cambria Math" w:hAnsi="Cambria Math"/>
                  <w:sz w:val="24"/>
                </w:rPr>
                <m:t>y∣a,h</m:t>
              </m:r>
            </m:e>
          </m:d>
          <m:r>
            <w:rPr>
              <w:rFonts w:ascii="Cambria Math" w:hAnsi="Cambria Math"/>
              <w:sz w:val="24"/>
            </w:rPr>
            <m:t>.</m:t>
          </m:r>
        </m:oMath>
      </m:oMathPara>
    </w:p>
    <w:p>
      <w:r>
        <w:t xml:space="preserve">A known policy π gives the probability of selecting a recipient or treatment. It does not reveal the unknown response loading β. Conditional on a fixed history, a policy that is independent of β has zero parameter score, even when its choices depend on earlier β-dependent outcomes. The joint conditional Fisher information is the policy-weighted response information. If policy parameters are also unknown, their score and information enter the likelihood rather than disappearing through conditioning.</w:t>
      </w:r>
    </w:p>
    <w:p>
      <w:pPr>
        <w:keepLines/>
        <w:spacing w:line="240" w:lineRule="auto"/>
        <w:jc w:val="center"/>
      </w:pPr>
      <m:oMathPara>
        <m:oMath>
          <m:sSubSup>
            <m:e>
              <m:r>
                <w:rPr>
                  <w:rFonts w:ascii="Cambria Math" w:hAnsi="Cambria Math"/>
                  <w:sz w:val="24"/>
                </w:rPr>
                <m:t>I</m:t>
              </m:r>
            </m:e>
            <m:sub>
              <m:r>
                <w:rPr>
                  <w:rFonts w:ascii="Cambria Math" w:hAnsi="Cambria Math"/>
                  <w:sz w:val="24"/>
                </w:rPr>
                <m:t>t</m:t>
              </m:r>
            </m:sub>
            <m:sup>
              <m:r>
                <w:rPr>
                  <w:rFonts w:ascii="Cambria Math" w:hAnsi="Cambria Math"/>
                  <w:sz w:val="24"/>
                </w:rPr>
                <m:t>k</m:t>
              </m:r>
            </m:sup>
          </m:sSubSup>
          <m:d>
            <m:dPr>
              <m:sepChr m:val=""/>
            </m:dPr>
            <m:e>
              <m:r>
                <w:rPr>
                  <w:rFonts w:ascii="Cambria Math" w:hAnsi="Cambria Math"/>
                  <w:sz w:val="24"/>
                </w:rPr>
                <m:t>β∣h</m:t>
              </m:r>
            </m:e>
          </m:d>
          <m:r>
            <w:rPr>
              <w:rFonts w:ascii="Cambria Math" w:hAnsi="Cambria Math"/>
              <w:sz w:val="24"/>
            </w:rPr>
            <m:t>=</m:t>
          </m:r>
          <m:nary>
            <m:naryPr>
              <m:chr m:val="∑"/>
              <m:limLoc m:val="subSup"/>
              <m:grow m:val="1"/>
              <m:subHide m:val="off"/>
              <m:supHide m:val="on"/>
            </m:naryPr>
            <m:sub>
              <m:r>
                <w:rPr>
                  <w:rFonts w:ascii="Cambria Math" w:hAnsi="Cambria Math"/>
                  <w:sz w:val="24"/>
                </w:rPr>
                <m:t>a</m:t>
              </m:r>
            </m:sub>
            <m:sup/>
            <m:e>
              <m:r>
                <w:rPr>
                  <w:rFonts w:ascii="Cambria Math" w:hAnsi="Cambria Math"/>
                  <w:sz w:val="24"/>
                </w:rPr>
                <m:t>π</m:t>
              </m:r>
            </m:e>
          </m:nary>
          <m:d>
            <m:dPr>
              <m:sepChr m:val=""/>
            </m:dPr>
            <m:e>
              <m:r>
                <w:rPr>
                  <w:rFonts w:ascii="Cambria Math" w:hAnsi="Cambria Math"/>
                  <w:sz w:val="24"/>
                </w:rPr>
                <m:t>a∣h</m:t>
              </m:r>
            </m:e>
          </m:d>
          <m:sSubSup>
            <m:e>
              <m:r>
                <w:rPr>
                  <w:rFonts w:ascii="Cambria Math" w:hAnsi="Cambria Math"/>
                  <w:sz w:val="24"/>
                </w:rPr>
                <m:t>I</m:t>
              </m:r>
            </m:e>
            <m:sub>
              <m:r>
                <w:rPr>
                  <w:rFonts w:ascii="Cambria Math" w:hAnsi="Cambria Math"/>
                  <w:sz w:val="24"/>
                </w:rPr>
                <m:t>t</m:t>
              </m:r>
            </m:sub>
            <m:sup>
              <m:r>
                <w:rPr>
                  <w:rFonts w:ascii="Cambria Math" w:hAnsi="Cambria Math"/>
                  <w:sz w:val="24"/>
                </w:rPr>
                <m:t>r</m:t>
              </m:r>
            </m:sup>
          </m:sSubSup>
          <m:d>
            <m:dPr>
              <m:sepChr m:val=""/>
            </m:dPr>
            <m:e>
              <m:r>
                <w:rPr>
                  <w:rFonts w:ascii="Cambria Math" w:hAnsi="Cambria Math"/>
                  <w:sz w:val="24"/>
                </w:rPr>
                <m:t>β∣a,h</m:t>
              </m:r>
            </m:e>
          </m:d>
          <m:r>
            <w:rPr>
              <w:rFonts w:ascii="Cambria Math" w:hAnsi="Cambria Math"/>
              <w:sz w:val="24"/>
            </w:rPr>
            <m:t>.</m:t>
          </m:r>
        </m:oMath>
      </m:oMathPara>
    </w:p>
    <w:p>
      <w:r>
        <w:t xml:space="preserve">This identity requires a known, parameter-independent exposure policy.</w:t>
      </w:r>
    </w:p>
    <w:p>
      <w:r>
        <w:t xml:space="preserve">The recorded kernel must include purchases after exposure, rejected offers, observed quality signals, changes in eligibility, and any state innovations informative about β. An audit sample used to estimate propensities is additional evidence and belongs in the experiment. A model that studies only reward recipients may satisfy the Shadow Futures bound, while a richer response record supplies information outside that bound. Neither withholding feedback from the analysis nor conditioning on a parameter-dependent state makes the information vanish.</w:t>
      </w:r>
    </w:p>
    <w:p>
      <w:r>
        <w:t xml:space="preserve">Specify the estimand before calculating a budget. A useful target is the change in expected cumulative reward through a fixed horizon H under a stated input intervention. Causal interpretation requires consistency, an appropriate exchangeability or randomized-design argument, adequate positivity, and a mechanism valid under the intervention (Hernán and Robins, 2020). Within-market spillovers can be modeled through h; treating markets as independent additionally requires controlling cross-market dependence.</w:t>
      </w:r>
    </w:p>
    <w:p>
      <w:pPr>
        <w:pStyle w:val="Heading1"/>
      </w:pPr>
      <w:r>
        <w:t xml:space="preserve">3. A Budget Is an Upper Bound, Not Identification</w:t>
      </w:r>
    </w:p>
    <w:p>
      <w:r>
        <w:t xml:space="preserve">For a recipient kernel </w:t>
      </w:r>
      <m:oMath>
        <m:sSub>
          <m:e>
            <m:r>
              <w:rPr>
                <w:rFonts w:ascii="Cambria Math" w:hAnsi="Cambria Math"/>
                <w:sz w:val="24"/>
              </w:rPr>
              <m:t>p</m:t>
            </m:r>
          </m:e>
          <m:sub>
            <m:r>
              <w:rPr>
                <w:rFonts w:ascii="Cambria Math" w:hAnsi="Cambria Math"/>
                <w:sz w:val="24"/>
              </w:rPr>
              <m:t>β</m:t>
            </m:r>
          </m:sub>
        </m:sSub>
      </m:oMath>
      <w:r>
        <w:t xml:space="preserve">(i | h), define </w:t>
      </w:r>
      <m:oMath>
        <m:sSub>
          <m:e>
            <m:r>
              <w:rPr>
                <w:rFonts w:ascii="Cambria Math" w:hAnsi="Cambria Math"/>
                <w:sz w:val="24"/>
              </w:rPr>
              <m:t>ε</m:t>
            </m:r>
          </m:e>
          <m:sub>
            <m:r>
              <w:rPr>
                <w:rFonts w:ascii="Cambria Math" w:hAnsi="Cambria Math"/>
                <w:sz w:val="24"/>
              </w:rPr>
              <m:t>t</m:t>
            </m:r>
          </m:sub>
        </m:sSub>
      </m:oMath>
      <w:r>
        <w:t xml:space="preserve"> = 1 minus its largest probability and </w:t>
      </w:r>
      <m:oMath>
        <m:sSub>
          <m:e>
            <m:r>
              <w:rPr>
                <w:rFonts w:ascii="Cambria Math" w:hAnsi="Cambria Math"/>
                <w:sz w:val="24"/>
              </w:rPr>
              <m:t>B</m:t>
            </m:r>
          </m:e>
          <m:sub>
            <m:r>
              <w:rPr>
                <w:rFonts w:ascii="Cambria Math" w:hAnsi="Cambria Math"/>
                <w:sz w:val="24"/>
              </w:rPr>
              <m:t>T</m:t>
            </m:r>
          </m:sub>
        </m:sSub>
      </m:oMath>
      <w:r>
        <w:t xml:space="preserve"> as the sum through T allocations. In conditional logit with common predictable profiles and uniformly bounded profile diameter </w:t>
      </w:r>
      <m:oMath>
        <m:sSub>
          <m:e>
            <m:r>
              <w:rPr>
                <w:rFonts w:ascii="Cambria Math" w:hAnsi="Cambria Math"/>
                <w:sz w:val="24"/>
              </w:rPr>
              <m:t>D</m:t>
            </m:r>
          </m:e>
          <m:sub>
            <m:r>
              <w:rPr>
                <w:rFonts w:ascii="Cambria Math" w:hAnsi="Cambria Math"/>
                <w:sz w:val="24"/>
              </w:rPr>
              <m:t>X</m:t>
            </m:r>
          </m:sub>
        </m:sSub>
      </m:oMath>
      <w:r>
        <w:t xml:space="preserve">, cumulative conditional Fisher information has trace at most </w:t>
      </w:r>
      <m:oMath>
        <m:sSub>
          <m:e>
            <m:r>
              <w:rPr>
                <w:rFonts w:ascii="Cambria Math" w:hAnsi="Cambria Math"/>
                <w:sz w:val="24"/>
              </w:rPr>
              <m:t>D</m:t>
            </m:r>
          </m:e>
          <m:sub>
            <m:r>
              <w:rPr>
                <w:rFonts w:ascii="Cambria Math" w:hAnsi="Cambria Math"/>
                <w:sz w:val="24"/>
              </w:rPr>
              <m:t>X</m:t>
            </m:r>
          </m:sub>
        </m:sSub>
      </m:oMath>
      <w:r>
        <w:t xml:space="preserve"> squared times </w:t>
      </w:r>
      <m:oMath>
        <m:sSub>
          <m:e>
            <m:r>
              <w:rPr>
                <w:rFonts w:ascii="Cambria Math" w:hAnsi="Cambria Math"/>
                <w:sz w:val="24"/>
              </w:rPr>
              <m:t>B</m:t>
            </m:r>
          </m:e>
          <m:sub>
            <m:r>
              <w:rPr>
                <w:rFonts w:ascii="Cambria Math" w:hAnsi="Cambria Math"/>
                <w:sz w:val="24"/>
              </w:rPr>
              <m:t>T</m:t>
            </m:r>
          </m:sub>
        </m:sSub>
      </m:oMath>
      <w:r>
        <w:t xml:space="preserve">. The scalar budget limits how much that experiment can teach, but does not indicate which parameter directions are informative. Equal profiles can make every score zero even when allocations are balanced.</w:t>
      </w:r>
    </w:p>
    <w:p>
      <w:r>
        <w:t xml:space="preserve">This distinction becomes sharper for the joint kernel. Randomly exposing two identical alternatives with probability one half, and observing no β-dependent response, gives </w:t>
      </w:r>
      <m:oMath>
        <m:sSub>
          <m:e>
            <m:r>
              <w:rPr>
                <w:rFonts w:ascii="Cambria Math" w:hAnsi="Cambria Math"/>
                <w:sz w:val="24"/>
              </w:rPr>
              <m:t>B</m:t>
            </m:r>
          </m:e>
          <m:sub>
            <m:r>
              <w:rPr>
                <w:rFonts w:ascii="Cambria Math" w:hAnsi="Cambria Math"/>
                <w:sz w:val="24"/>
              </w:rPr>
              <m:t>T</m:t>
            </m:r>
          </m:sub>
        </m:sSub>
      </m:oMath>
      <w:r>
        <w:t xml:space="preserve"> = T/2 and zero information. Conversely, always exposing one alternative can give an exposure budget of zero while its observed response identifies β. A Bernoulli response with success probability logistic(β) supplies positive information each period regardless of exposure diversity. An exposure budget cannot be substituted for the recipient budget of an allocation-only theorem without proving the necessary domination for the full observed kernel.</w:t>
      </w:r>
    </w:p>
    <w:p>
      <w:r>
        <w:t xml:space="preserve">Probability measurement therefore requires an independent argument. Logged randomization probabilities can be known by design, subject to implementation checks. Structural allocation probabilities may instead require an estimated response model, external experiments, or documented bounds. Observed shares aggregate realized choices and changing opportunity sets; they are not the sequence of conditional probabilities. Fitting a reinforced kernel to the same concentrated record and then invoking its implied budget does not independently establish the kernel or its invariance.</w:t>
      </w:r>
    </w:p>
    <w:p>
      <w:r>
        <w:t xml:space="preserve">Uncertainty can be reported directly. If justified bounds constrain each conditional probability between lower and upper values, residual contestability lies between one minus the largest upper bound and one minus the largest lower bound. Enforcing the simplex and cross-equation restrictions can tighten these bounds. Summing feasible residuals produces a finite-horizon budget interval. Its credibility follows from the probability restrictions and their coverage, rather than from the name attached to the resulting statistic.</w:t>
      </w:r>
    </w:p>
    <w:p>
      <w:pPr>
        <w:pStyle w:val="Heading1"/>
      </w:pPr>
      <w:r>
        <w:t xml:space="preserve">4. Finite-Horizon Inference and Sensitivity</w:t>
      </w:r>
    </w:p>
    <w:p>
      <w:r>
        <w:t xml:space="preserve">A practical analysis reports the likelihood for the entire recorded experiment, a finite horizon, and a declared class of mechanisms. For two parameter values, conditional KL divergences add in expectation along the history. Under the allocation-only logit model with bounded parameter set, the Shadow Futures bound controls that divergence by squared parameter separation times expected comparison budget. Le Cam's two-point inequality then gives a lower bound on maximal estimation error at half the functional separation. This limits local minimax precision; it does not specify an attainable rate or prohibit accuracy at a particular parameter.</w:t>
      </w:r>
    </w:p>
    <w:p>
      <w:r>
        <w:t xml:space="preserve">Small realized budgets do not establish small expected budgets, and a finite sample cannot certify that </w:t>
      </w:r>
      <m:oMath>
        <m:sSub>
          <m:e>
            <m:r>
              <w:rPr>
                <w:rFonts w:ascii="Cambria Math" w:hAnsi="Cambria Math"/>
                <w:sz w:val="24"/>
              </w:rPr>
              <m:t>B</m:t>
            </m:r>
          </m:e>
          <m:sub>
            <m:r>
              <w:rPr>
                <w:rFonts w:ascii="Cambria Math" w:hAnsi="Cambria Math"/>
                <w:sz w:val="24"/>
              </w:rPr>
              <m:t>∞</m:t>
            </m:r>
          </m:sub>
        </m:sSub>
      </m:oMath>
      <w:r>
        <w:t xml:space="preserve"> is finite. Any observed prefix can be followed by a persistent positive exploration floor or by summable exploration, unless maintained mechanism restrictions exclude one continuation. At a constant residual probability of 0.001, the infinite budget diverges. A fitted decay curve extrapolated beyond the record is a model-dependent scenario, not a test of the almost-sure theorem.</w:t>
      </w:r>
    </w:p>
    <w:p>
      <w:r>
        <w:t xml:space="preserve">A defensible procedure begins with predeclared horizons and probability models, computes likelihood and directional information for the full feedback record, and compares candidate parameter values. Confidence regions should be obtained by inverting tests whose calibration respects the adaptive experiment. In small, strongly reinforced samples, routine independent-observation standard errors and automatic chi-square likelihood cutoffs lack justification. Parametric simulation can calibrate a specified kernel, but its numerical error and uncertainty about nuisance mechanisms must also be reported.</w:t>
      </w:r>
    </w:p>
    <w:p>
      <w:r>
        <w:t xml:space="preserve">For sensitivity analysis, vary initial position, reinforcement strength, response specification, missing feedback, and the probability restrictions supported by audits. Report the union of valid confidence regions across retained mechanisms and its image under the intervention estimand. Population identified sets describe values compatible with an observable law and assumptions; finite-sample confidence regions describe statistical uncertainty about such values. They should not be treated as interchangeable. Manski's (2003) framework motivates reporting what remains compatible rather than forcing a point estimate when observational restrictions are insufficient.</w:t>
      </w:r>
    </w:p>
    <w:p>
      <w:pPr>
        <w:pStyle w:val="Heading1"/>
      </w:pPr>
      <w:r>
        <w:t xml:space="preserve">5. A Reproducible Synthetic Benchmark</w:t>
      </w:r>
    </w:p>
    <w:p>
      <w:r>
        <w:t xml:space="preserve">The benchmark uses two recipients, counts </w:t>
      </w:r>
      <m:oMath>
        <m:sSub>
          <m:e>
            <m:r>
              <w:rPr>
                <w:rFonts w:ascii="Cambria Math" w:hAnsi="Cambria Math"/>
                <w:sz w:val="24"/>
              </w:rPr>
              <m:t>N</m:t>
            </m:r>
          </m:e>
          <m:sub>
            <m:r>
              <w:rPr>
                <w:rFonts w:ascii="Cambria Math" w:hAnsi="Cambria Math"/>
                <w:sz w:val="24"/>
              </w:rPr>
              <m:t>0</m:t>
            </m:r>
          </m:sub>
        </m:sSub>
      </m:oMath>
      <w:r>
        <w:t xml:space="preserve"> and </w:t>
      </w:r>
      <m:oMath>
        <m:sSub>
          <m:e>
            <m:r>
              <w:rPr>
                <w:rFonts w:ascii="Cambria Math" w:hAnsi="Cambria Math"/>
                <w:sz w:val="24"/>
              </w:rPr>
              <m:t>N</m:t>
            </m:r>
          </m:e>
          <m:sub>
            <m:r>
              <w:rPr>
                <w:rFonts w:ascii="Cambria Math" w:hAnsi="Cambria Math"/>
                <w:sz w:val="24"/>
              </w:rPr>
              <m:t>1</m:t>
            </m:r>
          </m:sub>
        </m:sSub>
      </m:oMath>
      <w:r>
        <w:t xml:space="preserve"> initially zero, and the quadratic feedback specialization of Shadow Futures. The observed variable is the reward recipient itself, with no additional response channel. Here </w:t>
      </w:r>
      <m:oMath>
        <m:sSub>
          <m:e>
            <m:r>
              <w:rPr>
                <w:rFonts w:ascii="Cambria Math" w:hAnsi="Cambria Math"/>
                <w:sz w:val="24"/>
              </w:rPr>
              <m:t>p</m:t>
            </m:r>
          </m:e>
          <m:sub>
            <m:r>
              <w:rPr>
                <w:rFonts w:ascii="Cambria Math" w:hAnsi="Cambria Math"/>
                <w:sz w:val="24"/>
              </w:rPr>
              <m:t>β</m:t>
            </m:r>
          </m:sub>
        </m:sSub>
      </m:oMath>
      <w:r>
        <w:t xml:space="preserve"> is the structural recipient kernel, not a separately known, β-independent exposure policy.</w:t>
      </w:r>
    </w:p>
    <w:p>
      <w:pPr>
        <w:keepLines/>
        <w:spacing w:line="240" w:lineRule="auto"/>
        <w:jc w:val="center"/>
      </w:pPr>
      <m:oMathPara>
        <m:oMath>
          <m:sSub>
            <m:e>
              <m:r>
                <w:rPr>
                  <w:rFonts w:ascii="Cambria Math" w:hAnsi="Cambria Math"/>
                  <w:sz w:val="24"/>
                </w:rPr>
                <m:t>p</m:t>
              </m:r>
            </m:e>
            <m:sub>
              <m:r>
                <w:rPr>
                  <w:rFonts w:ascii="Cambria Math" w:hAnsi="Cambria Math"/>
                  <w:sz w:val="24"/>
                </w:rPr>
                <m:t>β</m:t>
              </m:r>
            </m:sub>
          </m:sSub>
          <m:d>
            <m:dPr>
              <m:sepChr m:val=""/>
            </m:dPr>
            <m:e>
              <m:r>
                <w:rPr>
                  <w:rFonts w:ascii="Cambria Math" w:hAnsi="Cambria Math"/>
                  <w:sz w:val="24"/>
                </w:rPr>
                <m:t>1∣h</m:t>
              </m:r>
            </m:e>
          </m:d>
          <m:r>
            <w:rPr>
              <w:rFonts w:ascii="Cambria Math" w:hAnsi="Cambria Math"/>
              <w:sz w:val="24"/>
            </w:rPr>
            <m:t>=</m:t>
          </m:r>
          <m:f>
            <m:fPr>
              <m:type m:val="bar"/>
            </m:fPr>
            <m:num>
              <m:r>
                <m:rPr>
                  <m:sty m:val="p"/>
                </m:rPr>
                <w:rPr>
                  <w:rFonts w:ascii="Cambria Math" w:hAnsi="Cambria Math"/>
                  <w:sz w:val="24"/>
                </w:rPr>
                <m:t>exp</m:t>
              </m:r>
              <m:d>
                <m:dPr>
                  <m:sepChr m:val=""/>
                </m:dPr>
                <m:e>
                  <m:r>
                    <w:rPr>
                      <w:rFonts w:ascii="Cambria Math" w:hAnsi="Cambria Math"/>
                      <w:sz w:val="24"/>
                    </w:rPr>
                    <m:t>β</m:t>
                  </m:r>
                </m:e>
              </m:d>
              <m:sSup>
                <m:e>
                  <m:d>
                    <m:dPr>
                      <m:sepChr m:val=""/>
                    </m:dPr>
                    <m:e>
                      <m:r>
                        <w:rPr>
                          <w:rFonts w:ascii="Cambria Math" w:hAnsi="Cambria Math"/>
                          <w:sz w:val="24"/>
                        </w:rPr>
                        <m:t>1+</m:t>
                      </m:r>
                      <m:sSub>
                        <m:e>
                          <m:r>
                            <w:rPr>
                              <w:rFonts w:ascii="Cambria Math" w:hAnsi="Cambria Math"/>
                              <w:sz w:val="24"/>
                            </w:rPr>
                            <m:t>N</m:t>
                          </m:r>
                        </m:e>
                        <m:sub>
                          <m:r>
                            <w:rPr>
                              <w:rFonts w:ascii="Cambria Math" w:hAnsi="Cambria Math"/>
                              <w:sz w:val="24"/>
                            </w:rPr>
                            <m:t>1</m:t>
                          </m:r>
                        </m:sub>
                      </m:sSub>
                    </m:e>
                  </m:d>
                </m:e>
                <m:sup>
                  <m:r>
                    <w:rPr>
                      <w:rFonts w:ascii="Cambria Math" w:hAnsi="Cambria Math"/>
                      <w:sz w:val="24"/>
                    </w:rPr>
                    <m:t>2</m:t>
                  </m:r>
                </m:sup>
              </m:sSup>
            </m:num>
            <m:den>
              <m:sSup>
                <m:e>
                  <m:d>
                    <m:dPr>
                      <m:sepChr m:val=""/>
                    </m:dPr>
                    <m:e>
                      <m:r>
                        <w:rPr>
                          <w:rFonts w:ascii="Cambria Math" w:hAnsi="Cambria Math"/>
                          <w:sz w:val="24"/>
                        </w:rPr>
                        <m:t>1+</m:t>
                      </m:r>
                      <m:sSub>
                        <m:e>
                          <m:r>
                            <w:rPr>
                              <w:rFonts w:ascii="Cambria Math" w:hAnsi="Cambria Math"/>
                              <w:sz w:val="24"/>
                            </w:rPr>
                            <m:t>N</m:t>
                          </m:r>
                        </m:e>
                        <m:sub>
                          <m:r>
                            <w:rPr>
                              <w:rFonts w:ascii="Cambria Math" w:hAnsi="Cambria Math"/>
                              <w:sz w:val="24"/>
                            </w:rPr>
                            <m:t>0</m:t>
                          </m:r>
                        </m:sub>
                      </m:sSub>
                    </m:e>
                  </m:d>
                </m:e>
                <m:sup>
                  <m:r>
                    <w:rPr>
                      <w:rFonts w:ascii="Cambria Math" w:hAnsi="Cambria Math"/>
                      <w:sz w:val="24"/>
                    </w:rPr>
                    <m:t>2</m:t>
                  </m:r>
                </m:sup>
              </m:sSup>
              <m:r>
                <w:rPr>
                  <w:rFonts w:ascii="Cambria Math" w:hAnsi="Cambria Math"/>
                  <w:sz w:val="24"/>
                </w:rPr>
                <m:t>+</m:t>
              </m:r>
              <m:r>
                <m:rPr>
                  <m:sty m:val="p"/>
                </m:rPr>
                <w:rPr>
                  <w:rFonts w:ascii="Cambria Math" w:hAnsi="Cambria Math"/>
                  <w:sz w:val="24"/>
                </w:rPr>
                <m:t>exp</m:t>
              </m:r>
              <m:d>
                <m:dPr>
                  <m:sepChr m:val=""/>
                </m:dPr>
                <m:e>
                  <m:r>
                    <w:rPr>
                      <w:rFonts w:ascii="Cambria Math" w:hAnsi="Cambria Math"/>
                      <w:sz w:val="24"/>
                    </w:rPr>
                    <m:t>β</m:t>
                  </m:r>
                </m:e>
              </m:d>
              <m:sSup>
                <m:e>
                  <m:d>
                    <m:dPr>
                      <m:sepChr m:val=""/>
                    </m:dPr>
                    <m:e>
                      <m:r>
                        <w:rPr>
                          <w:rFonts w:ascii="Cambria Math" w:hAnsi="Cambria Math"/>
                          <w:sz w:val="24"/>
                        </w:rPr>
                        <m:t>1+</m:t>
                      </m:r>
                      <m:sSub>
                        <m:e>
                          <m:r>
                            <w:rPr>
                              <w:rFonts w:ascii="Cambria Math" w:hAnsi="Cambria Math"/>
                              <w:sz w:val="24"/>
                            </w:rPr>
                            <m:t>N</m:t>
                          </m:r>
                        </m:e>
                        <m:sub>
                          <m:r>
                            <w:rPr>
                              <w:rFonts w:ascii="Cambria Math" w:hAnsi="Cambria Math"/>
                              <w:sz w:val="24"/>
                            </w:rPr>
                            <m:t>1</m:t>
                          </m:r>
                        </m:sub>
                      </m:sSub>
                    </m:e>
                  </m:d>
                </m:e>
                <m:sup>
                  <m:r>
                    <w:rPr>
                      <w:rFonts w:ascii="Cambria Math" w:hAnsi="Cambria Math"/>
                      <w:sz w:val="24"/>
                    </w:rPr>
                    <m:t>2</m:t>
                  </m:r>
                </m:sup>
              </m:sSup>
            </m:den>
          </m:f>
          <m:r>
            <w:rPr>
              <w:rFonts w:ascii="Cambria Math" w:hAnsi="Cambria Math"/>
              <w:sz w:val="24"/>
            </w:rPr>
            <m:t>.</m:t>
          </m:r>
        </m:oMath>
      </m:oMathPara>
    </w:p>
    <w:p>
      <w:r>
        <w:t xml:space="preserve">We compare β = -0.5 and β = 0.5 with equal prior weights. One design follows a single history; the other resets counts every sixteen allocations and produces independent markets sharing β. Total observed allocations are identical: 16, 256, 2,048, and 8,192, corresponding to 1, 16, 128, and 512 short markets. Startup and implementation costs are excluded, so this is an information comparison rather than a welfare calculation. The classifier selects the parameter with the larger exact sequential likelihood, randomizing at exact ties; no surrogate model is fitted.</w:t>
      </w:r>
    </w:p>
    <w:p>
      <w:r>
        <w:t xml:space="preserve">The Python benchmark uses NumPy 2.3.5, seed 20261009 for single histories and 20261010 for replicated markets, with 5,000 independent datasets under each parameter in each design. Horizon summaries reuse paths and are statistically dependent. Conditional information for the scalar loading is </w:t>
      </w:r>
      <m:oMath>
        <m:sSub>
          <m:e>
            <m:r>
              <w:rPr>
                <w:rFonts w:ascii="Cambria Math" w:hAnsi="Cambria Math"/>
                <w:sz w:val="24"/>
              </w:rPr>
              <m:t>p</m:t>
            </m:r>
          </m:e>
          <m:sub>
            <m:r>
              <w:rPr>
                <w:rFonts w:ascii="Cambria Math" w:hAnsi="Cambria Math"/>
                <w:sz w:val="24"/>
              </w:rPr>
              <m:t>β</m:t>
            </m:r>
          </m:sub>
        </m:sSub>
      </m:oMath>
      <w:r>
        <w:t xml:space="preserve">(1-</w:t>
      </w:r>
      <m:oMath>
        <m:sSub>
          <m:e>
            <m:r>
              <w:rPr>
                <w:rFonts w:ascii="Cambria Math" w:hAnsi="Cambria Math"/>
                <w:sz w:val="24"/>
              </w:rPr>
              <m:t>p</m:t>
            </m:r>
          </m:e>
          <m:sub>
            <m:r>
              <w:rPr>
                <w:rFonts w:ascii="Cambria Math" w:hAnsi="Cambria Math"/>
                <w:sz w:val="24"/>
              </w:rPr>
              <m:t>β</m:t>
            </m:r>
          </m:sub>
        </m:sSub>
      </m:oMath>
      <w:r>
        <w:t xml:space="preserve">), and residual contestability is min(</w:t>
      </w:r>
      <m:oMath>
        <m:sSub>
          <m:e>
            <m:r>
              <w:rPr>
                <w:rFonts w:ascii="Cambria Math" w:hAnsi="Cambria Math"/>
                <w:sz w:val="24"/>
              </w:rPr>
              <m:t>p</m:t>
            </m:r>
          </m:e>
          <m:sub>
            <m:r>
              <w:rPr>
                <w:rFonts w:ascii="Cambria Math" w:hAnsi="Cambria Math"/>
                <w:sz w:val="24"/>
              </w:rPr>
              <m:t>β</m:t>
            </m:r>
          </m:sub>
        </m:sSub>
      </m:oMath>
      <w:r>
        <w:t xml:space="preserve">,1-</w:t>
      </w:r>
      <m:oMath>
        <m:sSub>
          <m:e>
            <m:r>
              <w:rPr>
                <w:rFonts w:ascii="Cambria Math" w:hAnsi="Cambria Math"/>
                <w:sz w:val="24"/>
              </w:rPr>
              <m:t>p</m:t>
            </m:r>
          </m:e>
          <m:sub>
            <m:r>
              <w:rPr>
                <w:rFonts w:ascii="Cambria Math" w:hAnsi="Cambria Math"/>
                <w:sz w:val="24"/>
              </w:rPr>
              <m:t>β</m:t>
            </m:r>
          </m:sub>
        </m:sSub>
      </m:oMath>
      <w:r>
        <w:t xml:space="preserve">); their sums are computed before every allocation. Enumerating all 65,536 sixteen-allocation histories independently gives exact equal-prior classification risk 26.6776 percent, inside both sixteen-allocation Monte Carlo intervals.</w:t>
      </w:r>
    </w:p>
    <w:p>
      <w:r>
        <w:t xml:space="preserve">For single histories, estimated Bayes classification errors at the four horizons are 26.31, 23.24, 23.17, and 23.16 percent. Their Monte Carlo standard errors are respectively 0.440, 0.422, 0.422, and 0.422 percentage points. Repeated short markets give 27.08 percent (standard error 0.444), 1.36 percent (0.116), and no observed errors at either larger horizon. Zero observed errors do not mean zero population risk: simultaneous exact per-law zero-error bounds give a conservative 95 percent upper bound of 0.0738 percent for equal-prior risk. Intervals concern simulation uncertainty, not an economic population or model misspecification.</w:t>
      </w:r>
    </w:p>
    <w:p>
      <w:r>
        <w:t xml:space="preserve">Mean cumulative budgets for single histories are 1.529, 3.168, 4.542, and 5.427; mean cumulative information is 1.117, 2.393, 3.476, and 4.222. Replicated markets yield budgets 1.519, 24.643, 197.478, and 788.998, and information 1.112, 18.028, 144.391, and 576.979. At 8,192 allocations, the respective Monte Carlo standard errors for budget and information are 0.505 and 0.372 for one history, versus 0.294 and 0.190 for replication. Large single-history dispersion warns against treating the modest average increase as evidence of a finite limiting expectation.</w:t>
      </w:r>
    </w:p>
    <w:p>
      <w:pPr>
        <w:keepNext/>
      </w:pPr>
      <w:r>
        <w:t xml:space="preserve">Table 1. Equal-prior classification error in percent; Monte Carlo standard errors appear in parentheses.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20" w:type="dxa"/>
          <w:right w:w="120" w:type="dxa"/>
        </w:tblCellMar>
      </w:tblPr>
      <w:tblGrid>
        <w:gridCol w:w="1920"/>
        <w:gridCol w:w="3480"/>
        <w:gridCol w:w="3960"/>
      </w:tblGrid>
      <w:tr>
        <w:trPr>
          <w:cantSplit/>
          <w:tblHeader/>
        </w:trPr>
        <w:tc>
          <w:tcPr>
            <w:tcW w:w="1920" w:type="dxa"/>
            <w:vAlign w:val="center"/>
            <w:shd w:fill="EEEEEE"/>
          </w:tcPr>
          <w:p>
            <w:pPr>
              <w:keepNext/>
              <w:spacing w:line="240" w:lineRule="auto"/>
              <w:jc w:val="center"/>
            </w:pPr>
            <w:r>
              <w:rPr>
                <w:b/>
              </w:rPr>
              <w:t xml:space="preserve">Allocations</w:t>
            </w:r>
          </w:p>
        </w:tc>
        <w:tc>
          <w:tcPr>
            <w:tcW w:w="3480" w:type="dxa"/>
            <w:vAlign w:val="center"/>
            <w:shd w:fill="EEEEEE"/>
          </w:tcPr>
          <w:p>
            <w:pPr>
              <w:keepNext/>
              <w:spacing w:line="240" w:lineRule="auto"/>
              <w:jc w:val="center"/>
            </w:pPr>
            <w:r>
              <w:rPr>
                <w:b/>
              </w:rPr>
              <w:t xml:space="preserve">Single history</w:t>
            </w:r>
          </w:p>
        </w:tc>
        <w:tc>
          <w:tcPr>
            <w:tcW w:w="3960" w:type="dxa"/>
            <w:vAlign w:val="center"/>
            <w:shd w:fill="EEEEEE"/>
          </w:tcPr>
          <w:p>
            <w:pPr>
              <w:keepNext/>
              <w:spacing w:line="240" w:lineRule="auto"/>
              <w:jc w:val="center"/>
            </w:pPr>
            <w:r>
              <w:rPr>
                <w:b/>
              </w:rPr>
              <w:t xml:space="preserve">Independent markets</w:t>
            </w:r>
          </w:p>
        </w:tc>
      </w:tr>
      <w:tr>
        <w:trPr>
          <w:cantSplit/>
        </w:trPr>
        <w:tc>
          <w:tcPr>
            <w:tcW w:w="1920" w:type="dxa"/>
            <w:vAlign w:val="center"/>
          </w:tcPr>
          <w:p>
            <w:pPr>
              <w:keepNext/>
              <w:spacing w:line="240" w:lineRule="auto"/>
              <w:jc w:val="center"/>
            </w:pPr>
            <w:r>
              <w:t xml:space="preserve">16</w:t>
            </w:r>
          </w:p>
        </w:tc>
        <w:tc>
          <w:tcPr>
            <w:tcW w:w="3480" w:type="dxa"/>
            <w:vAlign w:val="center"/>
          </w:tcPr>
          <w:p>
            <w:pPr>
              <w:keepNext/>
              <w:spacing w:line="240" w:lineRule="auto"/>
              <w:jc w:val="center"/>
            </w:pPr>
            <w:r>
              <w:t xml:space="preserve">26.31 (0.440)</w:t>
            </w:r>
          </w:p>
        </w:tc>
        <w:tc>
          <w:tcPr>
            <w:tcW w:w="3960" w:type="dxa"/>
            <w:vAlign w:val="center"/>
          </w:tcPr>
          <w:p>
            <w:pPr>
              <w:keepNext/>
              <w:spacing w:line="240" w:lineRule="auto"/>
              <w:jc w:val="center"/>
            </w:pPr>
            <w:r>
              <w:t xml:space="preserve">27.08 (0.444)</w:t>
            </w:r>
          </w:p>
        </w:tc>
      </w:tr>
      <w:tr>
        <w:trPr>
          <w:cantSplit/>
        </w:trPr>
        <w:tc>
          <w:tcPr>
            <w:tcW w:w="1920" w:type="dxa"/>
            <w:vAlign w:val="center"/>
          </w:tcPr>
          <w:p>
            <w:pPr>
              <w:keepNext/>
              <w:spacing w:line="240" w:lineRule="auto"/>
              <w:jc w:val="center"/>
            </w:pPr>
            <w:r>
              <w:t xml:space="preserve">256</w:t>
            </w:r>
          </w:p>
        </w:tc>
        <w:tc>
          <w:tcPr>
            <w:tcW w:w="3480" w:type="dxa"/>
            <w:vAlign w:val="center"/>
          </w:tcPr>
          <w:p>
            <w:pPr>
              <w:keepNext/>
              <w:spacing w:line="240" w:lineRule="auto"/>
              <w:jc w:val="center"/>
            </w:pPr>
            <w:r>
              <w:t xml:space="preserve">23.24 (0.422)</w:t>
            </w:r>
          </w:p>
        </w:tc>
        <w:tc>
          <w:tcPr>
            <w:tcW w:w="3960" w:type="dxa"/>
            <w:vAlign w:val="center"/>
          </w:tcPr>
          <w:p>
            <w:pPr>
              <w:keepNext/>
              <w:spacing w:line="240" w:lineRule="auto"/>
              <w:jc w:val="center"/>
            </w:pPr>
            <w:r>
              <w:t xml:space="preserve">1.36 (0.116)</w:t>
            </w:r>
          </w:p>
        </w:tc>
      </w:tr>
      <w:tr>
        <w:trPr>
          <w:cantSplit/>
        </w:trPr>
        <w:tc>
          <w:tcPr>
            <w:tcW w:w="1920" w:type="dxa"/>
            <w:vAlign w:val="center"/>
          </w:tcPr>
          <w:p>
            <w:pPr>
              <w:keepNext/>
              <w:spacing w:line="240" w:lineRule="auto"/>
              <w:jc w:val="center"/>
            </w:pPr>
            <w:r>
              <w:t xml:space="preserve">2,048</w:t>
            </w:r>
          </w:p>
        </w:tc>
        <w:tc>
          <w:tcPr>
            <w:tcW w:w="3480" w:type="dxa"/>
            <w:vAlign w:val="center"/>
          </w:tcPr>
          <w:p>
            <w:pPr>
              <w:keepNext/>
              <w:spacing w:line="240" w:lineRule="auto"/>
              <w:jc w:val="center"/>
            </w:pPr>
            <w:r>
              <w:t xml:space="preserve">23.17 (0.422)</w:t>
            </w:r>
          </w:p>
        </w:tc>
        <w:tc>
          <w:tcPr>
            <w:tcW w:w="3960" w:type="dxa"/>
            <w:vAlign w:val="center"/>
          </w:tcPr>
          <w:p>
            <w:pPr>
              <w:keepNext/>
              <w:spacing w:line="240" w:lineRule="auto"/>
              <w:jc w:val="center"/>
            </w:pPr>
            <w:r>
              <w:t xml:space="preserve">0 observed</w:t>
            </w:r>
          </w:p>
        </w:tc>
      </w:tr>
      <w:tr>
        <w:trPr>
          <w:cantSplit/>
        </w:trPr>
        <w:tc>
          <w:tcPr>
            <w:tcW w:w="1920" w:type="dxa"/>
            <w:vAlign w:val="center"/>
          </w:tcPr>
          <w:p>
            <w:pPr>
              <w:spacing w:line="240" w:lineRule="auto"/>
              <w:jc w:val="center"/>
            </w:pPr>
            <w:r>
              <w:t xml:space="preserve">8,192</w:t>
            </w:r>
          </w:p>
        </w:tc>
        <w:tc>
          <w:tcPr>
            <w:tcW w:w="3480" w:type="dxa"/>
            <w:vAlign w:val="center"/>
          </w:tcPr>
          <w:p>
            <w:pPr>
              <w:spacing w:line="240" w:lineRule="auto"/>
              <w:jc w:val="center"/>
            </w:pPr>
            <w:r>
              <w:t xml:space="preserve">23.16 (0.422)</w:t>
            </w:r>
          </w:p>
        </w:tc>
        <w:tc>
          <w:tcPr>
            <w:tcW w:w="3960" w:type="dxa"/>
            <w:vAlign w:val="center"/>
          </w:tcPr>
          <w:p>
            <w:pPr>
              <w:spacing w:line="240" w:lineRule="auto"/>
              <w:jc w:val="center"/>
            </w:pPr>
            <w:r>
              <w:t xml:space="preserve">0 observed</w:t>
            </w:r>
          </w:p>
        </w:tc>
      </w:tr>
    </w:tbl>
    <w:p>
      <w:r>
        <w:t xml:space="preserve">No observed errors imply a conservative 95 percent upper risk bound of 0.0738 percent, not zero population risk. The table reports synthetic observations only.</w:t>
      </w:r>
    </w:p>
    <w:p>
      <w:pPr>
        <w:pStyle w:val="Heading1"/>
      </w:pPr>
      <w:r>
        <w:t xml:space="preserve">6. Forecast Agreement, Controls, and Design</w:t>
      </w:r>
    </w:p>
    <w:p>
      <w:r>
        <w:t xml:space="preserve">For the same recorded counts, define forecast disagreement as the absolute difference between the two fixed models' next-recipient probabilities. These are conditional forecasts under specified parameter values, not posterior forecasts. In single histories, mean disagreement falls from 0.02840 after sixteen allocations to 0.001954, 0.0002738, and 0.00005544 at the subsequent horizons. The final mean has Monte Carlo standard error 0.00001974. Forecasts can become close while two-point attribution error remains appreciable.</w:t>
      </w:r>
    </w:p>
    <w:p>
      <w:r>
        <w:t xml:space="preserve">For replicated markets, the forecast is a hypothetical next allocation in the final sixteen-allocation market before any further reset. Mean gaps are 0.02812, 0.02954, 0.02898, and 0.03008: market age remains sixteen although aggregate sample size grows. The last standard error is 0.0005557. Fresh-market forecasts would instead start from common zero counts. Neither statistic establishes merging of entire future laws; that asymptotic statement rests on the separate theorem and its assumptions.</w:t>
      </w:r>
    </w:p>
    <w:p>
      <w:r>
        <w:t xml:space="preserve">The negative control uses uniform recipient probabilities independent of β and no informative response. At 8,192 observations its budget is exactly 4,096, information is zero, both likelihoods coincide, and equal-prior classification error is exactly one half. This analytical control accompanies the simulation and demonstrates that contestability cannot replace structural variation. Identical input profiles in conditional logit produce the same lack of information even when a parameter symbol appears in the formula.</w:t>
      </w:r>
    </w:p>
    <w:p>
      <w:r>
        <w:t xml:space="preserve">Design follows the estimand. Logged-bandit counterfactual methods make the selection policy central to evaluation (Swaminathan and Joachims, 2015), while adaptive experiments for policy choice allocate information toward a declared decision objective (Kasy and Sautmann, 2021). A platform seeking attribution may need different experiments from one optimizing immediate conversion. Repeated predictions can also change the response distribution (Perdomo et al., 2020), so a frozen response model requires justification. Independent short-market replication, randomized exposure blocks, and held-out audits are candidates only when they preserve relevant variation and credible transport across units.</w:t>
      </w:r>
    </w:p>
    <w:p>
      <w:pPr>
        <w:pStyle w:val="Heading1"/>
      </w:pPr>
      <w:r>
        <w:t xml:space="preserve">7. Conclusion</w:t>
      </w:r>
    </w:p>
    <w:p>
      <w:r>
        <w:t xml:space="preserve">Comparison opportunities are measurable only relative to an observation model and an estimand. Known policy probabilities document exposure; unknown structural effects require informative responses or allocations and justified identifying restrictions. A scalar budget can bound information in a specified model while failing to identify a direction, a response mechanism, or a causal intervention effect. Additional feedback can change the conclusion and must be included explicitly.</w:t>
      </w:r>
    </w:p>
    <w:p>
      <w:r>
        <w:t xml:space="preserve">The synthetic results illustrate the difference between extending one reinforced record and reopening comparison through independent histories. They do not diagnose an actual platform, prove an asymptotic statement from finite computation, or establish the benefit of a particular regulation. For antitrust analysis or an epistemic-externality tax, the first empirical deliverable should be a finite-horizon comparison report: declared target, complete kernel, probability evidence, information or discrimination diagnostics, sensitivity regions, and the cost of proposed experiments. This makes missing comparison an examinable economic problem without pretending that a concentrated outcome by itself measures the information lost.</w:t>
      </w:r>
    </w:p>
    <w:p>
      <w:pPr>
        <w:pStyle w:val="Heading1"/>
      </w:pPr>
      <w:r>
        <w:t xml:space="preserve">References</w:t>
      </w:r>
    </w:p>
    <w:p>
      <w:r>
        <w:t xml:space="preserve">Erlic, M. (2026). Shadow Futures: Contribution Uncertainty and the Self-Reinforcing Market. V5 author manuscript, October 2026. Associated public record: doi:10.2139/ssrn.6003994.</w:t>
      </w:r>
    </w:p>
    <w:p>
      <w:r>
        <w:t xml:space="preserve">Hernán, M. A., and Robins, J. M. (2020). Causal Inference: What If. Boca Raton: Chapman &amp; Hall/CRC. Author-distributed book.</w:t>
      </w:r>
    </w:p>
    <w:p>
      <w:r>
        <w:t xml:space="preserve">Kasy, M., and Sautmann, A. (2021). Adaptive treatment assignment in experiments for policy choice. Econometrica, 89(1), 113–132.</w:t>
      </w:r>
    </w:p>
    <w:p>
      <w:r>
        <w:t xml:space="preserve">Manski, C. F. (2003). Partial Identification of Probability Distributions. New York: Springer.</w:t>
      </w:r>
    </w:p>
    <w:p>
      <w:r>
        <w:t xml:space="preserve">Perdomo, J., Zrnic, T., Mendler-Dünner, C., and Hardt, M. (2020). Performative prediction. Proceedings of Machine Learning Research, 119, 7599–7609.</w:t>
      </w:r>
    </w:p>
    <w:p>
      <w:r>
        <w:t xml:space="preserve">Swaminathan, A., and Joachims, T. (2015). Counterfactual risk minimization: Learning from logged bandit feedback. Proceedings of Machine Learning Research, 37, 814–823.</w:t>
      </w:r>
    </w:p>
    <w:sectPr w:rsidR="004D31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E87" w14:textId="77777777" w:rsidR="00170338" w:rsidRDefault="00170338">
      <w:pPr>
        <w:spacing w:line="240" w:lineRule="auto"/>
      </w:pPr>
      <w:r>
        <w:separator/>
      </w:r>
    </w:p>
  </w:endnote>
  <w:endnote w:type="continuationSeparator" w:id="0">
    <w:p w14:paraId="0E7A92F5" w14:textId="77777777" w:rsidR="00170338" w:rsidRDefault="00170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ABE8" w14:textId="77777777" w:rsidR="00170338" w:rsidRDefault="00170338">
      <w:r>
        <w:separator/>
      </w:r>
    </w:p>
  </w:footnote>
  <w:footnote w:type="continuationSeparator" w:id="0">
    <w:p w14:paraId="20ADC1BF" w14:textId="77777777" w:rsidR="00170338" w:rsidRDefault="00170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9003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5C1470"/>
    <w:multiLevelType w:val="multilevel"/>
    <w:tmpl w:val="969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970C2"/>
    <w:multiLevelType w:val="multilevel"/>
    <w:tmpl w:val="0E6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D2B8C"/>
    <w:multiLevelType w:val="multilevel"/>
    <w:tmpl w:val="CE96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8755B"/>
    <w:multiLevelType w:val="multilevel"/>
    <w:tmpl w:val="CFE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E7183"/>
    <w:multiLevelType w:val="multilevel"/>
    <w:tmpl w:val="DDAA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5367">
    <w:abstractNumId w:val="3"/>
  </w:num>
  <w:num w:numId="2" w16cid:durableId="2047439166">
    <w:abstractNumId w:val="4"/>
  </w:num>
  <w:num w:numId="3" w16cid:durableId="1032194484">
    <w:abstractNumId w:val="2"/>
  </w:num>
  <w:num w:numId="4" w16cid:durableId="1449472817">
    <w:abstractNumId w:val="1"/>
  </w:num>
  <w:num w:numId="5" w16cid:durableId="307517141">
    <w:abstractNumId w:val="5"/>
  </w:num>
  <w:num w:numId="6" w16cid:durableId="53859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9A"/>
    <w:rsid w:val="00002D75"/>
    <w:rsid w:val="000034EE"/>
    <w:rsid w:val="00007C33"/>
    <w:rsid w:val="00020285"/>
    <w:rsid w:val="00032C5D"/>
    <w:rsid w:val="00033410"/>
    <w:rsid w:val="00046F18"/>
    <w:rsid w:val="000474BC"/>
    <w:rsid w:val="00061BA2"/>
    <w:rsid w:val="00063E81"/>
    <w:rsid w:val="00071B87"/>
    <w:rsid w:val="00083862"/>
    <w:rsid w:val="00091E8C"/>
    <w:rsid w:val="000A5ACB"/>
    <w:rsid w:val="000A62E2"/>
    <w:rsid w:val="000B6539"/>
    <w:rsid w:val="000C2750"/>
    <w:rsid w:val="000C710F"/>
    <w:rsid w:val="000D0454"/>
    <w:rsid w:val="000D4611"/>
    <w:rsid w:val="000D4F81"/>
    <w:rsid w:val="000E057F"/>
    <w:rsid w:val="000E2645"/>
    <w:rsid w:val="000E35F6"/>
    <w:rsid w:val="000E3921"/>
    <w:rsid w:val="000F26E2"/>
    <w:rsid w:val="00100D82"/>
    <w:rsid w:val="00105310"/>
    <w:rsid w:val="001150B8"/>
    <w:rsid w:val="00130087"/>
    <w:rsid w:val="0013386D"/>
    <w:rsid w:val="00144537"/>
    <w:rsid w:val="001512F0"/>
    <w:rsid w:val="00164E3D"/>
    <w:rsid w:val="00170338"/>
    <w:rsid w:val="00170900"/>
    <w:rsid w:val="00180CDD"/>
    <w:rsid w:val="0018295F"/>
    <w:rsid w:val="00191024"/>
    <w:rsid w:val="001942E2"/>
    <w:rsid w:val="001947A1"/>
    <w:rsid w:val="00195BFC"/>
    <w:rsid w:val="001A092D"/>
    <w:rsid w:val="001A112C"/>
    <w:rsid w:val="001A4E32"/>
    <w:rsid w:val="001B6E6E"/>
    <w:rsid w:val="001F75B5"/>
    <w:rsid w:val="00202E16"/>
    <w:rsid w:val="00206174"/>
    <w:rsid w:val="002160A4"/>
    <w:rsid w:val="00216A58"/>
    <w:rsid w:val="002203C7"/>
    <w:rsid w:val="00231839"/>
    <w:rsid w:val="00232479"/>
    <w:rsid w:val="00232ADA"/>
    <w:rsid w:val="00232C4B"/>
    <w:rsid w:val="00234A3A"/>
    <w:rsid w:val="00243DFA"/>
    <w:rsid w:val="0024636E"/>
    <w:rsid w:val="002629E0"/>
    <w:rsid w:val="00264EEF"/>
    <w:rsid w:val="00271A14"/>
    <w:rsid w:val="00282C11"/>
    <w:rsid w:val="00283929"/>
    <w:rsid w:val="00287963"/>
    <w:rsid w:val="00290440"/>
    <w:rsid w:val="00296E9E"/>
    <w:rsid w:val="00297955"/>
    <w:rsid w:val="002A3F3C"/>
    <w:rsid w:val="002B03A9"/>
    <w:rsid w:val="002B6E1A"/>
    <w:rsid w:val="002C3D6C"/>
    <w:rsid w:val="002C7F24"/>
    <w:rsid w:val="002D2B2D"/>
    <w:rsid w:val="002E1A0E"/>
    <w:rsid w:val="002E4075"/>
    <w:rsid w:val="002E5332"/>
    <w:rsid w:val="002E761E"/>
    <w:rsid w:val="003000B3"/>
    <w:rsid w:val="0030065D"/>
    <w:rsid w:val="00317EEA"/>
    <w:rsid w:val="003274A9"/>
    <w:rsid w:val="003322B1"/>
    <w:rsid w:val="0034382B"/>
    <w:rsid w:val="00351A0E"/>
    <w:rsid w:val="00360386"/>
    <w:rsid w:val="003628E2"/>
    <w:rsid w:val="0039194E"/>
    <w:rsid w:val="00391A1B"/>
    <w:rsid w:val="00394805"/>
    <w:rsid w:val="003C11B7"/>
    <w:rsid w:val="003C7C0F"/>
    <w:rsid w:val="003D22C8"/>
    <w:rsid w:val="003D3E09"/>
    <w:rsid w:val="003E64E8"/>
    <w:rsid w:val="003E73B9"/>
    <w:rsid w:val="003F3DD6"/>
    <w:rsid w:val="0040309B"/>
    <w:rsid w:val="00404572"/>
    <w:rsid w:val="00405BE8"/>
    <w:rsid w:val="00410F83"/>
    <w:rsid w:val="0041559C"/>
    <w:rsid w:val="004157C6"/>
    <w:rsid w:val="00420021"/>
    <w:rsid w:val="00436CC3"/>
    <w:rsid w:val="00443CF2"/>
    <w:rsid w:val="00447B14"/>
    <w:rsid w:val="0045706A"/>
    <w:rsid w:val="0045749A"/>
    <w:rsid w:val="00467F24"/>
    <w:rsid w:val="00470A7C"/>
    <w:rsid w:val="00475F0A"/>
    <w:rsid w:val="00477B2A"/>
    <w:rsid w:val="00477B78"/>
    <w:rsid w:val="004B3396"/>
    <w:rsid w:val="004B71D3"/>
    <w:rsid w:val="004B780D"/>
    <w:rsid w:val="004C2CDF"/>
    <w:rsid w:val="004C3CDD"/>
    <w:rsid w:val="004D3192"/>
    <w:rsid w:val="004D3544"/>
    <w:rsid w:val="004E2D79"/>
    <w:rsid w:val="004E33A9"/>
    <w:rsid w:val="004E6946"/>
    <w:rsid w:val="004F4486"/>
    <w:rsid w:val="004F5565"/>
    <w:rsid w:val="004F6DAC"/>
    <w:rsid w:val="005035A6"/>
    <w:rsid w:val="00506AB1"/>
    <w:rsid w:val="00523B76"/>
    <w:rsid w:val="0052452D"/>
    <w:rsid w:val="00535A5F"/>
    <w:rsid w:val="00552BC5"/>
    <w:rsid w:val="0055383D"/>
    <w:rsid w:val="00571F19"/>
    <w:rsid w:val="00581FEF"/>
    <w:rsid w:val="00595546"/>
    <w:rsid w:val="005A385A"/>
    <w:rsid w:val="005C1343"/>
    <w:rsid w:val="005C5B56"/>
    <w:rsid w:val="005E1BB5"/>
    <w:rsid w:val="005E4121"/>
    <w:rsid w:val="005E6942"/>
    <w:rsid w:val="005F344E"/>
    <w:rsid w:val="00607795"/>
    <w:rsid w:val="006114B0"/>
    <w:rsid w:val="00616075"/>
    <w:rsid w:val="00631251"/>
    <w:rsid w:val="00640FC1"/>
    <w:rsid w:val="00645B0D"/>
    <w:rsid w:val="00647976"/>
    <w:rsid w:val="00655FEB"/>
    <w:rsid w:val="00662567"/>
    <w:rsid w:val="00674B72"/>
    <w:rsid w:val="00675316"/>
    <w:rsid w:val="00684782"/>
    <w:rsid w:val="00691238"/>
    <w:rsid w:val="00692A71"/>
    <w:rsid w:val="00694F9F"/>
    <w:rsid w:val="00697061"/>
    <w:rsid w:val="006B192B"/>
    <w:rsid w:val="006B5FA6"/>
    <w:rsid w:val="006C4962"/>
    <w:rsid w:val="006C6924"/>
    <w:rsid w:val="006C7AA3"/>
    <w:rsid w:val="006D3FD8"/>
    <w:rsid w:val="006D7E0B"/>
    <w:rsid w:val="006F2DCB"/>
    <w:rsid w:val="00700D1B"/>
    <w:rsid w:val="00701BFC"/>
    <w:rsid w:val="007055B3"/>
    <w:rsid w:val="00706FEF"/>
    <w:rsid w:val="00707B00"/>
    <w:rsid w:val="00730BF9"/>
    <w:rsid w:val="0073449C"/>
    <w:rsid w:val="00735E5C"/>
    <w:rsid w:val="00755B0C"/>
    <w:rsid w:val="0076020E"/>
    <w:rsid w:val="00760326"/>
    <w:rsid w:val="0077080A"/>
    <w:rsid w:val="00777022"/>
    <w:rsid w:val="00784D73"/>
    <w:rsid w:val="00785E0D"/>
    <w:rsid w:val="00797DA2"/>
    <w:rsid w:val="007A3536"/>
    <w:rsid w:val="007A466C"/>
    <w:rsid w:val="007A4ADE"/>
    <w:rsid w:val="007C1E4E"/>
    <w:rsid w:val="007C3BC4"/>
    <w:rsid w:val="007C3E1C"/>
    <w:rsid w:val="007D375C"/>
    <w:rsid w:val="007D4922"/>
    <w:rsid w:val="007E1CEF"/>
    <w:rsid w:val="007E7B04"/>
    <w:rsid w:val="008078E9"/>
    <w:rsid w:val="00812DC1"/>
    <w:rsid w:val="00817820"/>
    <w:rsid w:val="008239D1"/>
    <w:rsid w:val="00852C48"/>
    <w:rsid w:val="00853DA5"/>
    <w:rsid w:val="00863A59"/>
    <w:rsid w:val="00864C8A"/>
    <w:rsid w:val="0086504A"/>
    <w:rsid w:val="00865288"/>
    <w:rsid w:val="0087274E"/>
    <w:rsid w:val="00875431"/>
    <w:rsid w:val="0087661D"/>
    <w:rsid w:val="00884D5B"/>
    <w:rsid w:val="00893553"/>
    <w:rsid w:val="008970A8"/>
    <w:rsid w:val="008A16EA"/>
    <w:rsid w:val="008A1893"/>
    <w:rsid w:val="008B5C94"/>
    <w:rsid w:val="008B7456"/>
    <w:rsid w:val="008C6603"/>
    <w:rsid w:val="008E58F0"/>
    <w:rsid w:val="008E6804"/>
    <w:rsid w:val="009077FF"/>
    <w:rsid w:val="0094023D"/>
    <w:rsid w:val="00941570"/>
    <w:rsid w:val="009559FA"/>
    <w:rsid w:val="009575C6"/>
    <w:rsid w:val="009647AE"/>
    <w:rsid w:val="00971586"/>
    <w:rsid w:val="00975151"/>
    <w:rsid w:val="009850D7"/>
    <w:rsid w:val="00991108"/>
    <w:rsid w:val="009949DE"/>
    <w:rsid w:val="009B7F85"/>
    <w:rsid w:val="009C32DA"/>
    <w:rsid w:val="009D15B1"/>
    <w:rsid w:val="009F1246"/>
    <w:rsid w:val="00A109F0"/>
    <w:rsid w:val="00A131CE"/>
    <w:rsid w:val="00A25FD9"/>
    <w:rsid w:val="00A332AA"/>
    <w:rsid w:val="00A33BE3"/>
    <w:rsid w:val="00A3797B"/>
    <w:rsid w:val="00A46B90"/>
    <w:rsid w:val="00A5346B"/>
    <w:rsid w:val="00A6600D"/>
    <w:rsid w:val="00A6700C"/>
    <w:rsid w:val="00A74F21"/>
    <w:rsid w:val="00A76ACD"/>
    <w:rsid w:val="00A80199"/>
    <w:rsid w:val="00A82310"/>
    <w:rsid w:val="00A87063"/>
    <w:rsid w:val="00A93143"/>
    <w:rsid w:val="00A979DA"/>
    <w:rsid w:val="00AA0D0B"/>
    <w:rsid w:val="00AA577E"/>
    <w:rsid w:val="00AB04FF"/>
    <w:rsid w:val="00AB0E53"/>
    <w:rsid w:val="00AB4058"/>
    <w:rsid w:val="00AB55BA"/>
    <w:rsid w:val="00AC203E"/>
    <w:rsid w:val="00AE0905"/>
    <w:rsid w:val="00AE63E6"/>
    <w:rsid w:val="00B013A4"/>
    <w:rsid w:val="00B04D94"/>
    <w:rsid w:val="00B10A85"/>
    <w:rsid w:val="00B12562"/>
    <w:rsid w:val="00B14DD4"/>
    <w:rsid w:val="00B15719"/>
    <w:rsid w:val="00B37D64"/>
    <w:rsid w:val="00B51AB1"/>
    <w:rsid w:val="00B52A16"/>
    <w:rsid w:val="00B532F9"/>
    <w:rsid w:val="00B53632"/>
    <w:rsid w:val="00B62F9E"/>
    <w:rsid w:val="00B74351"/>
    <w:rsid w:val="00B76E8F"/>
    <w:rsid w:val="00B832BF"/>
    <w:rsid w:val="00B9387A"/>
    <w:rsid w:val="00BA21C1"/>
    <w:rsid w:val="00BA7BD3"/>
    <w:rsid w:val="00BC08CF"/>
    <w:rsid w:val="00BC66C8"/>
    <w:rsid w:val="00BD46F6"/>
    <w:rsid w:val="00BD4D79"/>
    <w:rsid w:val="00BE1085"/>
    <w:rsid w:val="00BE2A34"/>
    <w:rsid w:val="00BE416C"/>
    <w:rsid w:val="00BE5076"/>
    <w:rsid w:val="00BF2E9C"/>
    <w:rsid w:val="00BF3627"/>
    <w:rsid w:val="00BF396F"/>
    <w:rsid w:val="00C074B7"/>
    <w:rsid w:val="00C200EF"/>
    <w:rsid w:val="00C21694"/>
    <w:rsid w:val="00C218A9"/>
    <w:rsid w:val="00C32121"/>
    <w:rsid w:val="00C326A1"/>
    <w:rsid w:val="00C35230"/>
    <w:rsid w:val="00C41D14"/>
    <w:rsid w:val="00C42113"/>
    <w:rsid w:val="00C55F58"/>
    <w:rsid w:val="00C56749"/>
    <w:rsid w:val="00C6589C"/>
    <w:rsid w:val="00C77282"/>
    <w:rsid w:val="00C824E6"/>
    <w:rsid w:val="00C8275A"/>
    <w:rsid w:val="00C82956"/>
    <w:rsid w:val="00C832BD"/>
    <w:rsid w:val="00C84A84"/>
    <w:rsid w:val="00C90DB5"/>
    <w:rsid w:val="00C95F51"/>
    <w:rsid w:val="00C968BB"/>
    <w:rsid w:val="00CA46B9"/>
    <w:rsid w:val="00CA4E68"/>
    <w:rsid w:val="00CA7235"/>
    <w:rsid w:val="00CB3674"/>
    <w:rsid w:val="00CB3FAB"/>
    <w:rsid w:val="00CB6945"/>
    <w:rsid w:val="00CD0CBF"/>
    <w:rsid w:val="00CD2267"/>
    <w:rsid w:val="00CE0D1E"/>
    <w:rsid w:val="00CE1566"/>
    <w:rsid w:val="00CE6412"/>
    <w:rsid w:val="00CE644B"/>
    <w:rsid w:val="00CE75B3"/>
    <w:rsid w:val="00CF2579"/>
    <w:rsid w:val="00D000AA"/>
    <w:rsid w:val="00D10599"/>
    <w:rsid w:val="00D17EAD"/>
    <w:rsid w:val="00D23C9C"/>
    <w:rsid w:val="00D24C69"/>
    <w:rsid w:val="00D33977"/>
    <w:rsid w:val="00D36F9B"/>
    <w:rsid w:val="00D378FC"/>
    <w:rsid w:val="00D60107"/>
    <w:rsid w:val="00D72CCD"/>
    <w:rsid w:val="00D82777"/>
    <w:rsid w:val="00D842A3"/>
    <w:rsid w:val="00D8440A"/>
    <w:rsid w:val="00D84444"/>
    <w:rsid w:val="00D92E62"/>
    <w:rsid w:val="00DC3B3E"/>
    <w:rsid w:val="00DC42E6"/>
    <w:rsid w:val="00DC5955"/>
    <w:rsid w:val="00DC5A36"/>
    <w:rsid w:val="00DD6220"/>
    <w:rsid w:val="00DE07AD"/>
    <w:rsid w:val="00DF0030"/>
    <w:rsid w:val="00E007BF"/>
    <w:rsid w:val="00E008D7"/>
    <w:rsid w:val="00E01139"/>
    <w:rsid w:val="00E01991"/>
    <w:rsid w:val="00E036E5"/>
    <w:rsid w:val="00E11F5D"/>
    <w:rsid w:val="00E2689C"/>
    <w:rsid w:val="00E349A7"/>
    <w:rsid w:val="00E35C23"/>
    <w:rsid w:val="00E42650"/>
    <w:rsid w:val="00E4639A"/>
    <w:rsid w:val="00E47A7D"/>
    <w:rsid w:val="00E50326"/>
    <w:rsid w:val="00E6371B"/>
    <w:rsid w:val="00E70240"/>
    <w:rsid w:val="00E718D9"/>
    <w:rsid w:val="00E76C54"/>
    <w:rsid w:val="00E77783"/>
    <w:rsid w:val="00E8210C"/>
    <w:rsid w:val="00E91961"/>
    <w:rsid w:val="00E9681D"/>
    <w:rsid w:val="00EA1E2B"/>
    <w:rsid w:val="00EA31BB"/>
    <w:rsid w:val="00EB449E"/>
    <w:rsid w:val="00EB6028"/>
    <w:rsid w:val="00EC2550"/>
    <w:rsid w:val="00EC362E"/>
    <w:rsid w:val="00EC5B07"/>
    <w:rsid w:val="00ED0F91"/>
    <w:rsid w:val="00EE795E"/>
    <w:rsid w:val="00EF0ABE"/>
    <w:rsid w:val="00F067F4"/>
    <w:rsid w:val="00F10852"/>
    <w:rsid w:val="00F21AEF"/>
    <w:rsid w:val="00F232B5"/>
    <w:rsid w:val="00F4026C"/>
    <w:rsid w:val="00F41883"/>
    <w:rsid w:val="00F4480E"/>
    <w:rsid w:val="00F566B3"/>
    <w:rsid w:val="00F67082"/>
    <w:rsid w:val="00F72F5A"/>
    <w:rsid w:val="00F75B3B"/>
    <w:rsid w:val="00F93D69"/>
    <w:rsid w:val="00FA4D3C"/>
    <w:rsid w:val="00FB3ABB"/>
    <w:rsid w:val="00FB3C3E"/>
    <w:rsid w:val="00FE0AB7"/>
    <w:rsid w:val="00FE2A05"/>
    <w:rsid w:val="00FE5469"/>
    <w:rsid w:val="00FF1D23"/>
    <w:rsid w:val="00FF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8AC0"/>
  <w15:docId w15:val="{FC62B2C2-8CBD-4FD4-80DB-09C1B30A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AE0905"/>
    <w:pPr>
      <w:keepNext/>
      <w:keepLines/>
      <w:spacing w:before="360" w:after="80"/>
      <w:outlineLvl w:val="0"/>
    </w:pPr>
    <w:rPr>
      <w:rFonts w:eastAsiaTheme="majorEastAsia" w:cs="Times New Roman"/>
      <w:b/>
      <w:bCs/>
      <w:color w:val="000000"/>
    </w:rPr>
  </w:style>
  <w:style w:type="paragraph" w:styleId="Heading2">
    <w:name w:val="heading 2"/>
    <w:basedOn w:val="Normal"/>
    <w:next w:val="Normal"/>
    <w:link w:val="Heading2Char"/>
    <w:uiPriority w:val="9"/>
    <w:unhideWhenUsed/>
    <w:qFormat/>
    <w:rsid w:val="00467F24"/>
    <w:pPr>
      <w:keepNext/>
      <w:keepLines/>
      <w:spacing w:before="200" w:after="80"/>
      <w:outlineLvl w:val="1"/>
    </w:pPr>
    <w:rPr>
      <w:rFonts w:eastAsiaTheme="majorEastAsia" w:cs="Times New Roman"/>
      <w:b/>
      <w:bCs/>
      <w:color w:val="000000"/>
    </w:rPr>
  </w:style>
  <w:style w:type="paragraph" w:styleId="Heading3">
    <w:name w:val="heading 3"/>
    <w:basedOn w:val="Normal"/>
    <w:next w:val="Normal"/>
    <w:link w:val="Heading3Char"/>
    <w:uiPriority w:val="9"/>
    <w:semiHidden/>
    <w:unhideWhenUsed/>
    <w:qFormat/>
    <w:rsid w:val="00E4639A"/>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E4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05"/>
    <w:rPr>
      <w:rFonts w:ascii="Times New Roman" w:eastAsiaTheme="majorEastAsia" w:hAnsi="Times New Roman" w:cs="Times New Roman"/>
      <w:b/>
      <w:bCs/>
      <w:color w:val="0F4761" w:themeColor="accent1" w:themeShade="BF"/>
    </w:rPr>
  </w:style>
  <w:style w:type="character" w:customStyle="1" w:styleId="Heading2Char">
    <w:name w:val="Heading 2 Char"/>
    <w:basedOn w:val="DefaultParagraphFont"/>
    <w:link w:val="Heading2"/>
    <w:uiPriority w:val="9"/>
    <w:rsid w:val="00467F24"/>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E4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9A"/>
    <w:rPr>
      <w:rFonts w:eastAsiaTheme="majorEastAsia" w:cstheme="majorBidi"/>
      <w:color w:val="272727" w:themeColor="text1" w:themeTint="D8"/>
    </w:rPr>
  </w:style>
  <w:style w:type="paragraph" w:styleId="Title">
    <w:name w:val="Title"/>
    <w:basedOn w:val="Normal"/>
    <w:next w:val="Normal"/>
    <w:link w:val="TitleChar"/>
    <w:uiPriority w:val="10"/>
    <w:qFormat/>
    <w:rsid w:val="00E4639A"/>
    <w:pPr>
      <w:spacing w:after="0" w:line="240" w:lineRule="auto" w:before="0"/>
      <w:contextualSpacing/>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E4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9A"/>
    <w:pPr>
      <w:spacing w:before="160"/>
      <w:jc w:val="center"/>
    </w:pPr>
    <w:rPr>
      <w:i/>
      <w:iCs/>
      <w:color w:val="404040" w:themeColor="text1" w:themeTint="BF"/>
    </w:rPr>
  </w:style>
  <w:style w:type="character" w:customStyle="1" w:styleId="QuoteChar">
    <w:name w:val="Quote Char"/>
    <w:basedOn w:val="DefaultParagraphFont"/>
    <w:link w:val="Quote"/>
    <w:uiPriority w:val="29"/>
    <w:rsid w:val="00E4639A"/>
    <w:rPr>
      <w:i/>
      <w:iCs/>
      <w:color w:val="404040" w:themeColor="text1" w:themeTint="BF"/>
    </w:rPr>
  </w:style>
  <w:style w:type="paragraph" w:styleId="ListParagraph">
    <w:name w:val="List Paragraph"/>
    <w:basedOn w:val="Normal"/>
    <w:uiPriority w:val="34"/>
    <w:qFormat/>
    <w:rsid w:val="00E4639A"/>
    <w:pPr>
      <w:ind w:left="720"/>
      <w:contextualSpacing/>
    </w:pPr>
  </w:style>
  <w:style w:type="character" w:styleId="IntenseEmphasis">
    <w:name w:val="Intense Emphasis"/>
    <w:basedOn w:val="DefaultParagraphFont"/>
    <w:uiPriority w:val="21"/>
    <w:qFormat/>
    <w:rsid w:val="00E4639A"/>
    <w:rPr>
      <w:i/>
      <w:iCs/>
      <w:color w:val="0F4761" w:themeColor="accent1" w:themeShade="BF"/>
    </w:rPr>
  </w:style>
  <w:style w:type="paragraph" w:styleId="IntenseQuote">
    <w:name w:val="Intense Quote"/>
    <w:basedOn w:val="Normal"/>
    <w:next w:val="Normal"/>
    <w:link w:val="IntenseQuoteChar"/>
    <w:uiPriority w:val="30"/>
    <w:qFormat/>
    <w:rsid w:val="00E4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9A"/>
    <w:rPr>
      <w:i/>
      <w:iCs/>
      <w:color w:val="0F4761" w:themeColor="accent1" w:themeShade="BF"/>
    </w:rPr>
  </w:style>
  <w:style w:type="character" w:styleId="IntenseReference">
    <w:name w:val="Intense Reference"/>
    <w:basedOn w:val="DefaultParagraphFont"/>
    <w:uiPriority w:val="32"/>
    <w:qFormat/>
    <w:rsid w:val="00E4639A"/>
    <w:rPr>
      <w:b/>
      <w:bCs/>
      <w:smallCaps/>
      <w:color w:val="0F4761" w:themeColor="accent1" w:themeShade="BF"/>
      <w:spacing w:val="5"/>
    </w:rPr>
  </w:style>
  <w:style w:type="paragraph" w:styleId="Header">
    <w:name w:val="header"/>
    <w:basedOn w:val="Normal"/>
    <w:link w:val="HeaderChar"/>
    <w:uiPriority w:val="99"/>
    <w:unhideWhenUsed/>
    <w:rsid w:val="00F566B3"/>
    <w:pPr>
      <w:tabs>
        <w:tab w:val="center" w:pos="4680"/>
        <w:tab w:val="right" w:pos="9360"/>
      </w:tabs>
      <w:spacing w:line="240" w:lineRule="auto"/>
    </w:pPr>
  </w:style>
  <w:style w:type="character" w:customStyle="1" w:styleId="HeaderChar">
    <w:name w:val="Header Char"/>
    <w:basedOn w:val="DefaultParagraphFont"/>
    <w:link w:val="Header"/>
    <w:uiPriority w:val="99"/>
    <w:rsid w:val="00F566B3"/>
  </w:style>
  <w:style w:type="paragraph" w:styleId="Footer">
    <w:name w:val="footer"/>
    <w:basedOn w:val="Normal"/>
    <w:link w:val="FooterChar"/>
    <w:uiPriority w:val="99"/>
    <w:unhideWhenUsed/>
    <w:rsid w:val="00F566B3"/>
    <w:pPr>
      <w:tabs>
        <w:tab w:val="center" w:pos="4680"/>
        <w:tab w:val="right" w:pos="9360"/>
      </w:tabs>
      <w:spacing w:line="240" w:lineRule="auto"/>
    </w:pPr>
  </w:style>
  <w:style w:type="character" w:customStyle="1" w:styleId="FooterChar">
    <w:name w:val="Footer Char"/>
    <w:basedOn w:val="DefaultParagraphFont"/>
    <w:link w:val="Footer"/>
    <w:uiPriority w:val="99"/>
    <w:rsid w:val="00F566B3"/>
  </w:style>
  <w:style w:type="character" w:styleId="PlaceholderText">
    <w:name w:val="Placeholder Text"/>
    <w:basedOn w:val="DefaultParagraphFont"/>
    <w:uiPriority w:val="99"/>
    <w:semiHidden/>
    <w:rsid w:val="00071B87"/>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4779</Words>
  <Characters>29439</Characters>
  <Application>Microsoft Office Word</Application>
  <DocSecurity>0</DocSecurity>
  <Lines>498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Futures: Contribution Uncertainty and the Self-Reinforcing Market</dc:title>
  <dc:subject>Comparison budgets, single-history attribution, and self-reinforcing markets</dc:subject>
  <dc:creator>Martin Erlic</dc:creator>
  <cp:keywords>increasing returns; path dependence; identification; cumulative advantage; monopoly; antitrust; taxation; redistribution</cp:keywords>
  <dc:description>Concise main article with complete technical appendix.</dc:description>
  <cp:lastModifiedBy>Martin Erlic</cp:lastModifiedBy>
  <cp:revision>2</cp:revision>
  <cp:lastPrinted>2026-07-22T01:38:00Z</cp:lastPrinted>
  <dcterms:created xsi:type="dcterms:W3CDTF">2026-07-22T01:45:00Z</dcterms:created>
  <dcterms:modified xsi:type="dcterms:W3CDTF">2026-10-08T12:00:00Z</dcterms:modified>
</cp:coreProperties>
</file>