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Counterfactual Evidence and the Limits of Market Attribution</w:t>
      </w:r>
    </w:p>
    <w:p>
      <w:pPr>
        <w:keepNext/>
        <w:spacing w:line="240" w:lineRule="auto"/>
        <w:jc w:val="center"/>
      </w:pPr>
      <w:r>
        <w:t xml:space="preserve">Martin Erlic</w:t>
      </w:r>
    </w:p>
    <w:p>
      <w:pPr>
        <w:keepNext/>
        <w:spacing w:after="240" w:line="240" w:lineRule="auto"/>
        <w:jc w:val="center"/>
      </w:pPr>
      <w:r>
        <w:rPr>
          <w:i/>
          <w:sz w:val="20"/>
        </w:rPr>
        <w:t xml:space="preserve">October 2026 · Research draft</w:t>
      </w:r>
    </w:p>
    <w:p>
      <w:pPr>
        <w:keepNext/>
      </w:pPr>
      <w:r>
        <w:rPr>
          <w:b/>
        </w:rPr>
        <w:t xml:space="preserve">Abstract</w:t>
      </w:r>
    </w:p>
    <w:p>
      <w:r>
        <w:t xml:space="preserve">What can a realized market history establish about the alternatives that its allocation process did not produce? This paper distinguishes four questions: whether an intervention effect is well defined, whether the observation law identifies it, whether one adaptive history permits consistent estimation, and whether uncertainty warrants a policy response. Shadow Futures supplies a conditional failure of the third kind: finite comparison can yield equivalent history laws even when verified inputs remain causally effective. A simple potential-outcomes example illustrates the separate limit on individual attribution under identical observable and intervention distributions. Neither result makes counterfactual science impossible. Structural assumptions, experimental variation, independent replications, and additional observed responses can change the evidence available. Simulated alternatives express the assumptions of their generator and require external validation before they count as evidence about an actual economy. The paper proposes an evidence contract that states the estimand, intervention, observation channels, invariance assumptions, and decision consequences. Its policy implication is conditional: preserving opportunities for informative comparison may support justified collective decisions, while monetary valuation and normative objectives remain separate obligations.</w:t>
      </w:r>
    </w:p>
    <w:p>
      <w:r>
        <w:t xml:space="preserve">Keywords: counterfactual evidence, causal attribution, adaptive allocation, identification, philosophy of social science, shadow futures.</w:t>
      </w:r>
    </w:p>
    <w:p>
      <w:r>
        <w:t xml:space="preserve">JEL codes: B41, C18, D83, L41.</w:t>
      </w:r>
    </w:p>
    <w:p>
      <w:pPr>
        <w:pStyle w:val="Heading1"/>
        <w:pageBreakBefore/>
      </w:pPr>
      <w:r>
        <w:t xml:space="preserve">1. Introduction</w:t>
      </w:r>
    </w:p>
    <w:p>
      <w:r>
        <w:t xml:space="preserve">A market record establishes which transactions took place, which inputs were supplied, and which actors received rewards. An explanation of those rewards asks a further question: what difference would an intervention on inputs or access have made? That question concerns an explicit alternative process. It can be scientifically meaningful even though only one process was realized.</w:t>
      </w:r>
    </w:p>
    <w:p>
      <w:r>
        <w:t xml:space="preserve">Shadow Futures calls possible alternative allocation histories shadow futures and defines a comparison budget within a specified adaptive experiment (Erlic, 2026). Its impossibility result concerns the statistical information available from one history under stated conditions. This paper examines the epistemic significance of that result. The aim is to organize the obligations connecting an intervention claim, available observations, a learning procedure, and a public decision.</w:t>
      </w:r>
    </w:p>
    <w:p>
      <w:r>
        <w:t xml:space="preserve">Causal inference already distinguishes observed association from intervention effects, and distinguishes population effects from individual causal assignments (Holland, 1986; Pearl, 2009; Hernán and Robins, 2020). Interventionist accounts also connect explanatory claims with their stability under appropriate changes (Woodward, 2004). The contribution here is a taxonomy tailored to adaptive markets, where allocation affects the future evidence on which attribution depends. It gives counterfactual reasoning a disciplined role without treating every imagined firm or simulated trajectory as an empirically established alternative.</w:t>
      </w:r>
    </w:p>
    <w:p>
      <w:pPr>
        <w:pStyle w:val="Heading1"/>
      </w:pPr>
      <w:r>
        <w:t xml:space="preserve">2. Four distinct inferential obligations</w:t>
      </w:r>
    </w:p>
    <w:p>
      <w:r>
        <w:t xml:space="preserve">The first obligation is definition. Specify a population or actor, an intervention, a horizon, and an outcome functional. A change in expected cumulative reward after a specified input intervention is different from the realized causal share of a particular jackpot. An intervention on quality is also different from changing a platform’s ranking rule. If the intervention changes the meaning of the outcome or the identity of the service, its comparison requires an explicit correspondence.</w:t>
      </w:r>
    </w:p>
    <w:p>
      <w:r>
        <w:t xml:space="preserve">The second obligation is identification. Within a class of admissible models, ask whether the entire distribution of the available observations uniquely determines the chosen functional. If two models yield the same observation law but different target values, no amount of data drawn solely from that law can identify the target. Restricting the model class or adding an experimental channel can change the answer. Identification is therefore relative to an information set and assumptions.</w:t>
      </w:r>
    </w:p>
    <w:p>
      <w:r>
        <w:t xml:space="preserve">The third obligation is learning from the available sampling design. Distinct parameters may induce different laws, yet one adaptive history may not support a procedure consistent at every parameter. V5’s comparison-budget theorem addresses this case. Complete-history laws that are mutually absolutely continuous share null events; they need not give the same probabilities to ordinary events. Their equivalence prevents the mutually separating probability limits required by universal consistency for a nonconstant functional.</w:t>
      </w:r>
    </w:p>
    <w:p>
      <w:r>
        <w:t xml:space="preserve">The fourth obligation is decision. A policy can be evaluated through expected or robust losses under retained uncertainty even when an attribution target is not point identified. Conversely, a precise effect estimate does not choose social welfare weights, establish legal authority, or demonstrate that intervention benefits exceed costs. Conflating these obligations turns a statistical limitation into a policy conclusion without the intervening argument.</w:t>
      </w:r>
    </w:p>
    <w:p>
      <w:pPr>
        <w:pStyle w:val="Heading1"/>
      </w:pPr>
      <w:r>
        <w:t xml:space="preserve">3. Why individual attribution can remain unidentified</w:t>
      </w:r>
    </w:p>
    <w:p>
      <w:r>
        <w:t xml:space="preserve">Consider a one-time randomized treatment A, independent of a latent binary variable U with probability one-half of each value. Only the realized outcome Y=Y(A) is observed for each unit. Compare two models for the pair of potential outcomes:</w:t>
      </w:r>
    </w:p>
    <w:p>
      <w:pPr>
        <w:keepLines/>
        <w:spacing w:line="240" w:lineRule="auto"/>
        <w:jc w:val="center"/>
      </w:pPr>
      <m:oMathPara>
        <m:oMath>
          <m:r>
            <m:rPr>
              <m:nor/>
            </m:rPr>
            <w:rPr>
              <w:rFonts w:ascii="Cambria Math" w:hAnsi="Cambria Math"/>
              <w:sz w:val="24"/>
            </w:rPr>
            <m:t>Model I:</m:t>
          </m:r>
          <m:r>
            <w:rPr>
              <w:rFonts w:ascii="Cambria Math" w:hAnsi="Cambria Math"/>
              <w:sz w:val="24"/>
            </w:rPr>
            <m:t>Y</m:t>
          </m:r>
          <m:d>
            <m:dPr>
              <m:sepChr m:val=""/>
            </m:dPr>
            <m:e>
              <m:r>
                <w:rPr>
                  <w:rFonts w:ascii="Cambria Math" w:hAnsi="Cambria Math"/>
                  <w:sz w:val="24"/>
                </w:rPr>
                <m:t>0</m:t>
              </m:r>
            </m:e>
          </m:d>
          <m:r>
            <w:rPr>
              <w:rFonts w:ascii="Cambria Math" w:hAnsi="Cambria Math"/>
              <w:sz w:val="24"/>
            </w:rPr>
            <m:t>=U,</m:t>
          </m:r>
          <m:r>
            <m:rPr>
              <m:nor/>
            </m:rPr>
            <w:rPr>
              <w:rFonts w:ascii="Cambria Math" w:hAnsi="Cambria Math"/>
              <w:sz w:val="24"/>
            </w:rPr>
            <m:t> </m:t>
          </m:r>
          <m:r>
            <w:rPr>
              <w:rFonts w:ascii="Cambria Math" w:hAnsi="Cambria Math"/>
              <w:sz w:val="24"/>
            </w:rPr>
            <m:t>Y</m:t>
          </m:r>
          <m:d>
            <m:dPr>
              <m:sepChr m:val=""/>
            </m:dPr>
            <m:e>
              <m:r>
                <w:rPr>
                  <w:rFonts w:ascii="Cambria Math" w:hAnsi="Cambria Math"/>
                  <w:sz w:val="24"/>
                </w:rPr>
                <m:t>1</m:t>
              </m:r>
            </m:e>
          </m:d>
          <m:r>
            <w:rPr>
              <w:rFonts w:ascii="Cambria Math" w:hAnsi="Cambria Math"/>
              <w:sz w:val="24"/>
            </w:rPr>
            <m:t>=U.</m:t>
          </m:r>
          <m:r>
            <m:rPr>
              <m:nor/>
            </m:rPr>
            <w:rPr>
              <w:rFonts w:ascii="Cambria Math" w:hAnsi="Cambria Math"/>
              <w:sz w:val="24"/>
            </w:rPr>
            <m:t>  </m:t>
          </m:r>
          <m:d>
            <m:dPr>
              <m:sepChr m:val=""/>
            </m:dPr>
            <m:e>
              <m:r>
                <w:rPr>
                  <w:rFonts w:ascii="Cambria Math" w:hAnsi="Cambria Math"/>
                  <w:sz w:val="24"/>
                </w:rPr>
                <m:t>1</m:t>
              </m:r>
            </m:e>
          </m:d>
        </m:oMath>
      </m:oMathPara>
    </w:p>
    <w:p>
      <w:pPr>
        <w:keepLines/>
        <w:spacing w:line="240" w:lineRule="auto"/>
        <w:jc w:val="center"/>
      </w:pPr>
      <m:oMathPara>
        <m:oMath>
          <m:r>
            <m:rPr>
              <m:nor/>
            </m:rPr>
            <w:rPr>
              <w:rFonts w:ascii="Cambria Math" w:hAnsi="Cambria Math"/>
              <w:sz w:val="24"/>
            </w:rPr>
            <m:t>Model II:</m:t>
          </m:r>
          <m:r>
            <w:rPr>
              <w:rFonts w:ascii="Cambria Math" w:hAnsi="Cambria Math"/>
              <w:sz w:val="24"/>
            </w:rPr>
            <m:t>Y</m:t>
          </m:r>
          <m:d>
            <m:dPr>
              <m:sepChr m:val=""/>
            </m:dPr>
            <m:e>
              <m:r>
                <w:rPr>
                  <w:rFonts w:ascii="Cambria Math" w:hAnsi="Cambria Math"/>
                  <w:sz w:val="24"/>
                </w:rPr>
                <m:t>0</m:t>
              </m:r>
            </m:e>
          </m:d>
          <m:r>
            <w:rPr>
              <w:rFonts w:ascii="Cambria Math" w:hAnsi="Cambria Math"/>
              <w:sz w:val="24"/>
            </w:rPr>
            <m:t>=U,</m:t>
          </m:r>
          <m:r>
            <m:rPr>
              <m:nor/>
            </m:rPr>
            <w:rPr>
              <w:rFonts w:ascii="Cambria Math" w:hAnsi="Cambria Math"/>
              <w:sz w:val="24"/>
            </w:rPr>
            <m:t> </m:t>
          </m:r>
          <m:r>
            <w:rPr>
              <w:rFonts w:ascii="Cambria Math" w:hAnsi="Cambria Math"/>
              <w:sz w:val="24"/>
            </w:rPr>
            <m:t>Y</m:t>
          </m:r>
          <m:d>
            <m:dPr>
              <m:sepChr m:val=""/>
            </m:dPr>
            <m:e>
              <m:r>
                <w:rPr>
                  <w:rFonts w:ascii="Cambria Math" w:hAnsi="Cambria Math"/>
                  <w:sz w:val="24"/>
                </w:rPr>
                <m:t>1</m:t>
              </m:r>
            </m:e>
          </m:d>
          <m:r>
            <w:rPr>
              <w:rFonts w:ascii="Cambria Math" w:hAnsi="Cambria Math"/>
              <w:sz w:val="24"/>
            </w:rPr>
            <m:t>=1−U.</m:t>
          </m:r>
          <m:r>
            <m:rPr>
              <m:nor/>
            </m:rPr>
            <w:rPr>
              <w:rFonts w:ascii="Cambria Math" w:hAnsi="Cambria Math"/>
              <w:sz w:val="24"/>
            </w:rPr>
            <m:t>  </m:t>
          </m:r>
          <m:d>
            <m:dPr>
              <m:sepChr m:val=""/>
            </m:dPr>
            <m:e>
              <m:r>
                <w:rPr>
                  <w:rFonts w:ascii="Cambria Math" w:hAnsi="Cambria Math"/>
                  <w:sz w:val="24"/>
                </w:rPr>
                <m:t>2</m:t>
              </m:r>
            </m:e>
          </m:d>
        </m:oMath>
      </m:oMathPara>
    </w:p>
    <w:p>
      <w:r>
        <w:t xml:space="preserve">Proposition 1. These models induce the same observed distribution under any independent randomized treatment probability and the same marginal outcome distribution under either treatment intervention. They assign different distributions to the individual treatment effect Y(1)−Y(0).</w:t>
      </w:r>
    </w:p>
    <w:p>
      <w:r>
        <w:t xml:space="preserve">Proof. In each model and under each treatment value, Y is Bernoulli with parameter one-half. Independence of A and U therefore gives identical joint laws of (A,Y), and intervening to set A leaves the same outcome marginal. In Model I the individual effect is always zero. In Model II it is +1 or −1, each with probability one-half. Thus the individual-effect distribution differs while the observable and intervention marginals agree.</w:t>
      </w:r>
    </w:p>
    <w:p>
      <w:r>
        <w:t xml:space="preserve">The average treatment effect is zero in both models and is identified by the intervention marginals; both are learnable from the randomized observational design when both treatment values have positive probability. The ambiguity concerns how outcomes under mutually exclusive treatments are coupled within units. This illustrates an established causal-inference distinction, not an additional comparison-budget theorem. Observing both outcomes under a repeated-unit design would require stable potential outcomes and no carryover; those assumptions or other structural restrictions create a different information problem.</w:t>
      </w:r>
    </w:p>
    <w:p>
      <w:r>
        <w:t xml:space="preserve">An economic analogy is the distinction between estimating the expected reward effect of a productive intervention and assigning a unique causal fraction to one realized reward. The former can be identified under an adequate design even when the latter is not. Claims about merit, contribution, or rents must name which quantity they mean. The impossibility of one target cannot be transferred to another merely because both use causal language.</w:t>
      </w:r>
    </w:p>
    <w:p>
      <w:pPr>
        <w:pStyle w:val="Heading1"/>
      </w:pPr>
      <w:r>
        <w:t xml:space="preserve">4. Adaptive allocation changes the evidence supply</w:t>
      </w:r>
    </w:p>
    <w:p>
      <w:r>
        <w:t xml:space="preserve">In a fixed-recipient adaptive market, let the probability outside the current leader be εₜ and let B(T) sum these probabilities through T allocations. Under bounded input-profile differences, the conditional-logit information bound relates cumulative Fisher information to B(T). A growing transaction count therefore need not mean a growing capacity to distinguish input loadings. This supplies an endogenous account of a particular evidence constraint: the allocation process can reduce the comparisons generated by its own subsequent operation.</w:t>
      </w:r>
    </w:p>
    <w:p>
      <w:r>
        <w:t xml:space="preserve">Under the full assumptions of Theorem 1 in v5, almost-sure finite comparison makes fixed-parameter history laws equivalent and rules out universally consistent estimation of nonconstant contribution functionals, asymptotically perfect tests, and shrinking confidence sets with coverage tending to one at every parameter. This is a conditional theorem about the stated experiment. A concentrated market may have an infinite comparison budget, and an infinite budget may still provide no relevant variation. Additional outcomes can supply information that the allocation-only record lacks.</w:t>
      </w:r>
    </w:p>
    <w:p>
      <w:r>
        <w:t xml:space="preserve">On the canonical history space, the predictive-merging corollary establishes convergence of conditional entire-future forecasts in total variation, almost surely under either law, for each fixed parameter pair. The principle is classical (Blackwell and Dubins, 1962). Forecast agreement can therefore coexist with a failure to recover contribution parameters consistently. This conclusion concerns equivalent fixed complete-history laws. Equivalent prior-predictive mixtures can also merge while fixed-parameter components are singular; that situation can permit parameter learning and does not satisfy the present impossibility premise.</w:t>
      </w:r>
    </w:p>
    <w:p>
      <w:r>
        <w:t xml:space="preserve">The observation boundary matters in an AI application. A recommender’s known exposure policy and the user’s unknown response mechanism are separate parts of the joint experiment. Clicks, preferences, purchases, and interventions may add information. A convincing attribution limit must survive the inclusion of those channels. Restricting an analyst’s record by definition while a deployed system observes informative responses would overstate the limit relevant to that system.</w:t>
      </w:r>
    </w:p>
    <w:p>
      <w:pPr>
        <w:pStyle w:val="Heading1"/>
      </w:pPr>
      <w:r>
        <w:t xml:space="preserve">5. The scientific status of shadow futures</w:t>
      </w:r>
    </w:p>
    <w:p>
      <w:r>
        <w:t xml:space="preserve">In v5, a shadow future is a possible alternative finite-horizon allocation history under the same structural parameter, initial state, and predictable input and state rules. An intervention counterfactual changes specified features of that experiment and must be defined separately. A proposed competitor also requires a feasible production technology, financing and access conditions, and a defined service that it could supply. Non-entry establishes neither that the firm would have been effective nor that its exclusion was harmless.</w:t>
      </w:r>
    </w:p>
    <w:p>
      <w:r>
        <w:t xml:space="preserve">Simulation can reveal consequences of a model, assess a statistical procedure, and compare experimental designs against known truth. It can also expose which assumptions drive a proposed policy conclusion. A million simulated histories generated from an assumed contribution parameter do not provide a million independent observations of the actual market. Their empirical warrant comes from validation of the generator and from observations or interventions capable of discriminating among competing generators.</w:t>
      </w:r>
    </w:p>
    <w:p>
      <w:r>
        <w:t xml:space="preserve">The companion measurement paper uses this distinction constructively. Its exact synthetic experiment tests the inferential consequences of a specified reinforced model and compares them with independent informative replications. The outcome supports the reproducibility of that demonstration. Transport to an actual platform remains a separate task involving its observation channels, state dynamics, and opportunities for controlled variation.</w:t>
      </w:r>
    </w:p>
    <w:p>
      <w:r>
        <w:t xml:space="preserve">Counterfactual science therefore remains possible. Appropriate randomization, credible structural restrictions, and independently generated comparisons can identify some effects. A policy may also change the experiment itself by protecting a new channel. The claim that one historical design fails to support a target does not imply that every available design must fail. It instead specifies what an alternative design would have to supply.</w:t>
      </w:r>
    </w:p>
    <w:p>
      <w:pPr>
        <w:pStyle w:val="Heading1"/>
      </w:pPr>
      <w:r>
        <w:t xml:space="preserve">6. An evidence contract for attribution</w:t>
      </w:r>
    </w:p>
    <w:p>
      <w:r>
        <w:t xml:space="preserve">A public attribution claim should state an evidence contract. It begins with the target functional and the intervention that defines it. It then identifies the raw observation channels, the policies that selected those observations, the model class, and the assumptions supporting identification or statistical recovery. Finally, it states the decisions for which residual uncertainty matters. This is a disclosure of inferential scope, rather than a guarantee that every target can be recovered.</w:t>
      </w:r>
    </w:p>
    <w:p>
      <w:r>
        <w:t xml:space="preserve">For adaptive allocation, the contract should specify which rules remain invariant when input effects or access policies change. Common predictable functions mean that the same realized history produces the same input and state values across parameter comparisons; they do not mean that different histories produce identical realized input profiles. If the intervention changes how people respond, how firms invest, or what information becomes observable, the corresponding experiment must be modelled rather than silently held fixed.</w:t>
      </w:r>
    </w:p>
    <w:p>
      <w:r>
        <w:t xml:space="preserve">The contract should distinguish a mathematical implication, an estimated empirical relation, a simulation result, and a normative choice. A Lean proof checks an exact formal proposition under its hypotheses. It cannot establish that a platform satisfies those hypotheses, choose the appropriate counterfactual intervention, or determine the welfare value of information. Likewise, reproducible computation makes a numerical procedure inspectable while leaving its empirical premises open to assessment.</w:t>
      </w:r>
    </w:p>
    <w:p>
      <w:r>
        <w:t xml:space="preserve">Where point recovery is unsupported, an identified set or a set of admissible models can discipline explanation. A claim that remains valid across that set deserves different confidence from a claim that selects one convenient model. Restrictions may still be used when justified by domain evidence; their causal and empirical role should be visible to the reader. This treatment of uncertainty is consistent with decision analysis that retains ambiguity rather than manufacturing certitude (Manski, 2013).</w:t>
      </w:r>
    </w:p>
    <w:p>
      <w:pPr>
        <w:pStyle w:val="Heading1"/>
      </w:pPr>
      <w:r>
        <w:t xml:space="preserve">7. Implications for competition and public decisions</w:t>
      </w:r>
    </w:p>
    <w:p>
      <w:r>
        <w:t xml:space="preserve">The epistemic argument for competition is that some forms of independent access can generate evidence about feasible alternatives. A portfolio of informative trials may preserve distinctions that one self-reinforcing channel ceases to expose. Its social value depends on the decisions affected and the cost of the trials. Several firms using the same selection rule and the same feedback history may supply little independence, while one operator could maintain well-designed separate experiments.</w:t>
      </w:r>
    </w:p>
    <w:p>
      <w:r>
        <w:t xml:space="preserve">This reasoning makes the allocation architecture and its learning consequences relevant to policy. It does not assign a welfare loss to every unrealized company or every lost comparison. Some interventions are uninformative, expensive, unsafe, or unrelated to the decisions at issue. The companion competition paper supplies the benefit–cost and institutional comparison; the tax paper adds the incomplete-internalization and marginal-valuation premises needed for a corrective charge.</w:t>
      </w:r>
    </w:p>
    <w:p>
      <w:r>
        <w:t xml:space="preserve">An epistemic approach can evaluate a specified access change without taking a concentration index as its primitive. It still needs a boundary: which service, actors, decisions, resources, and possible substitutions are included? Describing that boundary openly is a methodological obligation. Existing legal requirements about markets or dominance remain institutional constraints until changed through an authorized process.</w:t>
      </w:r>
    </w:p>
    <w:p>
      <w:r>
        <w:t xml:space="preserve">The strongest public claim is consequently conditional and actionable. When an allocation mechanism limits informative comparison relevant to a consequential decision, preserve or create an experimental route whose identifying value and costs can be assessed. A broad denunciation of scale would erase the distinction between economically useful concentration and a demonstrated loss of the evidence needed to evaluate alternatives.</w:t>
      </w:r>
    </w:p>
    <w:p>
      <w:pPr>
        <w:pStyle w:val="Heading1"/>
      </w:pPr>
      <w:r>
        <w:t xml:space="preserve">8. Conclusion</w:t>
      </w:r>
    </w:p>
    <w:p>
      <w:r>
        <w:t xml:space="preserve">Counterfactual attribution requires a defined intervention, an identified target, an adequate observation design, and a decision context. Adaptive markets can influence the adequacy of that design by changing the comparisons they generate. Shadow Futures isolates one rigorous statistical limit within such a process, while classical causal inference supplies distinct limits on individual attribution.</w:t>
      </w:r>
    </w:p>
    <w:p>
      <w:r>
        <w:t xml:space="preserve">The research program should preserve these distinctions as it moves toward policy. Formal proofs secure implications of models; independent experiments and additional feedback test their empirical scope; welfare analysis determines the consequences of uncertainty. Shadow futures become scientifically useful when their assumptions and identifying experiments are explicit.</w:t>
      </w:r>
    </w:p>
    <w:p>
      <w:pPr>
        <w:pStyle w:val="Heading1"/>
      </w:pPr>
      <w:r>
        <w:t xml:space="preserve">References</w:t>
      </w:r>
    </w:p>
    <w:p>
      <w:r>
        <w:t xml:space="preserve">Blackwell, D., and Dubins, L. (1962). Merging of opinions with increasing information. The Annals of Mathematical Statistics, 33(3), 882–886. doi:10.1214/aoms/1177704456.</w:t>
      </w:r>
    </w:p>
    <w:p>
      <w:r>
        <w:t xml:space="preserve">Erlic, M. (2026). Shadow Futures: Contribution Uncertainty and the Self-Reinforcing Market. V5 author manuscript, October 2026. Associated public record: doi:10.2139/ssrn.6003994.</w:t>
      </w:r>
    </w:p>
    <w:p>
      <w:r>
        <w:t xml:space="preserve">Hernán, M. A., and Robins, J. M. (2020). Causal Inference: What If. Chapman and Hall/CRC.</w:t>
      </w:r>
    </w:p>
    <w:p>
      <w:r>
        <w:t xml:space="preserve">Holland, P. W. (1986). Statistics and causal inference. Journal of the American Statistical Association, 81(396), 945–960. doi:10.1080/01621459.1986.10478354.</w:t>
      </w:r>
    </w:p>
    <w:p>
      <w:r>
        <w:t xml:space="preserve">Manski, C. F. (2013). Public Policy in an Uncertain World: Analysis and Decisions. Harvard University Press.</w:t>
      </w:r>
    </w:p>
    <w:p>
      <w:r>
        <w:t xml:space="preserve">Pearl, J. (2009). Causality: Models, Reasoning, and Inference. Second edition. Cambridge University Press. doi:10.1017/CBO9780511803161.</w:t>
      </w:r>
    </w:p>
    <w:p>
      <w:r>
        <w:t xml:space="preserve">Woodward, J. (2004). Making Things Happen: A Theory of Causal Explanation. Oxford University Press. doi:10.1093/0195155270.001.0001.</w:t>
      </w:r>
    </w:p>
    <w:sectPr w:rsidR="004D31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4779</Words>
  <Characters>29439</Characters>
  <Application>Microsoft Office Word</Application>
  <DocSecurity>0</DocSecurity>
  <Lines>498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 Futures: Contribution Uncertainty and the Self-Reinforcing Market</dc:title>
  <dc:subject>Comparison budgets, single-history attribution, and self-reinforcing markets</dc:subject>
  <dc:creator>Martin Erlic</dc:creator>
  <cp:keywords>increasing returns; path dependence; identification; cumulative advantage; monopoly; antitrust; taxation; redistribution</cp:keywords>
  <dc:description>Concise main article with complete technical appendix.</dc:description>
  <cp:lastModifiedBy>Martin Erlic</cp:lastModifiedBy>
  <cp:revision>2</cp:revision>
  <cp:lastPrinted>2026-07-22T01:38:00Z</cp:lastPrinted>
  <dcterms:created xsi:type="dcterms:W3CDTF">2026-07-22T01:45:00Z</dcterms:created>
  <dcterms:modified xsi:type="dcterms:W3CDTF">2026-10-08T12:00:00Z</dcterms:modified>
</cp:coreProperties>
</file>