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Competition Policy for Informative Market Access</w:t>
      </w:r>
    </w:p>
    <w:p>
      <w:pPr>
        <w:keepNext/>
        <w:spacing w:line="240" w:lineRule="auto"/>
        <w:jc w:val="center"/>
      </w:pPr>
      <w:r>
        <w:t xml:space="preserve">Martin Erlic</w:t>
      </w:r>
    </w:p>
    <w:p>
      <w:pPr>
        <w:keepNext/>
        <w:spacing w:after="240" w:line="240" w:lineRule="auto"/>
        <w:jc w:val="center"/>
      </w:pPr>
      <w:r>
        <w:rPr>
          <w:i/>
          <w:sz w:val="20"/>
        </w:rPr>
        <w:t xml:space="preserve">October 2026 · Research draft</w:t>
      </w:r>
    </w:p>
    <w:p>
      <w:pPr>
        <w:keepNext/>
      </w:pPr>
      <w:r>
        <w:rPr>
          <w:b/>
        </w:rPr>
        <w:t xml:space="preserve">Abstract</w:t>
      </w:r>
    </w:p>
    <w:p>
      <w:r>
        <w:t xml:space="preserve">Competition policy can affect what markets learn as well as what they produce. This paper develops a framework for evaluating access policies through operating surplus and the discounted value of informative comparisons. Contestability is generated by eligibility, routing, entry costs, and feedback; concentration or a market-power label is not assumed as its primitive. A defined service and decision boundary supplies the observation model. An elementary Blackwell proposition establishes when additional information improves a fixed decision problem and identifies the separate cost threshold for a welfare gain. A counterexample shows that a large provider can support indefinitely informative allocation trials. Data access, portability, interoperability, randomized pilots, and independent replications are compared by their attainable information and resource costs. Robust policy choice uses one decision rule across plausible models and selects the least costly lawful intervention meeting an explicit objective. The framework supplements economic assessment under existing legal instruments; it does not displace their jurisdictional, market-definition, dominance, designation, or conduct requirements. The comparison-budget impossibility alone establishes neither an externality nor an optimal remedy.</w:t>
      </w:r>
    </w:p>
    <w:p>
      <w:r>
        <w:t xml:space="preserve">Keywords: competition policy, informative market access, comparison budget, value of information, endogenous contestability, robust policy.</w:t>
      </w:r>
    </w:p>
    <w:p>
      <w:r>
        <w:t xml:space="preserve">JEL codes: D61, D83, L41, L51, C18.</w:t>
      </w:r>
    </w:p>
    <w:p>
      <w:pPr>
        <w:pStyle w:val="Heading1"/>
        <w:pageBreakBefore/>
      </w:pPr>
      <w:r>
        <w:t xml:space="preserve">1. The policy question</w:t>
      </w:r>
    </w:p>
    <w:p>
      <w:r>
        <w:t xml:space="preserve">Market access determines which alternatives are tried, which users encounter them, and which differences become observable. A ranking rule can concentrate attention; an early contract can alter later financing; a portable history can make a new supplier credible. These mechanisms can affect current surplus and the evidence available for later decisions. Their economic assessment should therefore ask both what an intervention produces and what it permits society to learn.</w:t>
      </w:r>
    </w:p>
    <w:p>
      <w:r>
        <w:t xml:space="preserve">Shadow Futures (Erlic, 2026) studies a narrower problem. Under a common predictable allocation design, local equivalence, and comparison-dominated separation, an almost-surely finite comparison budget prevents universally consistent recovery of a nonconstant contribution functional from one history. Its conditional-logit information bound connects this budget to attribution precision. Neither the assumptions nor the welfare significance follow from a firm's size. The theorem supplies a diagnostic conditional on a model, rather than a finding that concentration is unlawful or socially harmful. It does not establish an information externality, an optimal tax, or a legal violation.</w:t>
      </w:r>
    </w:p>
    <w:p>
      <w:r>
        <w:t xml:space="preserve">This paper supplies the missing decision layer. It treats contestability as an outcome of access rules, feedback, and incentives, defines the decision that information could improve, and evaluates remedies against their full costs. The contribution is an economic policy framework built on classical information comparison, not a new general impossibility theorem. No application to a named company or finding of infringement is attempted.</w:t>
      </w:r>
    </w:p>
    <w:p>
      <w:pPr>
        <w:pStyle w:val="Heading1"/>
      </w:pPr>
      <w:r>
        <w:t xml:space="preserve">2. A defined service and decision boundary</w:t>
      </w:r>
    </w:p>
    <w:p>
      <w:r>
        <w:t xml:space="preserve">Begin with a service task, eligible alternatives, affected users, geography, and horizon. For example, the task might be matching local merchants to buyers during a specified quarter, followed by a procurement decision next year. Identify eligibility rules, inputs that can travel between providers, routing or ranking control, and feasible downstream decisions. This boundary defines the research experiment. It does not establish the legally relevant market.</w:t>
      </w:r>
    </w:p>
    <w:p>
      <w:r>
        <w:t xml:space="preserve">Let policy r determine the eligible set </w:t>
      </w:r>
      <m:oMath>
        <m:sSub>
          <m:e>
            <m:r>
              <w:rPr>
                <w:rFonts w:ascii="Cambria Math" w:hAnsi="Cambria Math"/>
                <w:sz w:val="24"/>
              </w:rPr>
              <m:t>I</m:t>
            </m:r>
          </m:e>
          <m:sub>
            <m:r>
              <w:rPr>
                <w:rFonts w:ascii="Cambria Math" w:hAnsi="Cambria Math"/>
                <w:sz w:val="24"/>
              </w:rPr>
              <m:t>t</m:t>
            </m:r>
          </m:sub>
        </m:sSub>
      </m:oMath>
      <w:r>
        <w:t xml:space="preserve">(r), entry costs, and access conditions. Verified input profiles </w:t>
      </w:r>
      <m:oMath>
        <m:sSub>
          <m:e>
            <m:r>
              <w:rPr>
                <w:rFonts w:ascii="Cambria Math" w:hAnsi="Cambria Math"/>
                <w:sz w:val="24"/>
              </w:rPr>
              <m:t>x</m:t>
            </m:r>
          </m:e>
          <m:sub>
            <m:r>
              <w:rPr>
                <w:rFonts w:ascii="Cambria Math" w:hAnsi="Cambria Math"/>
                <w:sz w:val="24"/>
              </w:rPr>
              <m:t>i,t</m:t>
            </m:r>
          </m:sub>
        </m:sSub>
      </m:oMath>
      <w:r>
        <w:t xml:space="preserve"> enter allocation alongside a state </w:t>
      </w:r>
      <m:oMath>
        <m:sSub>
          <m:e>
            <m:r>
              <w:rPr>
                <w:rFonts w:ascii="Cambria Math" w:hAnsi="Cambria Math"/>
                <w:sz w:val="24"/>
              </w:rPr>
              <m:t>s</m:t>
            </m:r>
          </m:e>
          <m:sub>
            <m:r>
              <w:rPr>
                <w:rFonts w:ascii="Cambria Math" w:hAnsi="Cambria Math"/>
                <w:sz w:val="24"/>
              </w:rPr>
              <m:t>i,t</m:t>
            </m:r>
          </m:sub>
        </m:sSub>
      </m:oMath>
      <w:r>
        <w:t xml:space="preserve"> that records accumulated position. One possible model is:</w:t>
      </w:r>
    </w:p>
    <w:p>
      <w:pPr>
        <w:keepNext/>
        <w:keepLines/>
        <w:spacing w:line="240" w:lineRule="auto"/>
        <w:jc w:val="center"/>
      </w:pPr>
      <m:oMathPara>
        <m:oMath>
          <m:sSub>
            <m:e>
              <m:r>
                <w:rPr>
                  <w:rFonts w:ascii="Cambria Math" w:hAnsi="Cambria Math"/>
                  <w:sz w:val="24"/>
                </w:rPr>
                <m:t>p</m:t>
              </m:r>
            </m:e>
            <m:sub>
              <m:r>
                <w:rPr>
                  <w:rFonts w:ascii="Cambria Math" w:hAnsi="Cambria Math"/>
                  <w:sz w:val="24"/>
                </w:rPr>
                <m:t>i,t</m:t>
              </m:r>
            </m:sub>
          </m:sSub>
          <m:d>
            <m:dPr>
              <m:sepChr m:val=""/>
            </m:dPr>
            <m:e>
              <m:r>
                <w:rPr>
                  <w:rFonts w:ascii="Cambria Math" w:hAnsi="Cambria Math"/>
                  <w:sz w:val="24"/>
                </w:rPr>
                <m:t>θ;r</m:t>
              </m:r>
            </m:e>
          </m:d>
          <m:r>
            <w:rPr>
              <w:rFonts w:ascii="Cambria Math" w:hAnsi="Cambria Math"/>
              <w:sz w:val="24"/>
            </w:rPr>
            <m:t>=</m:t>
          </m:r>
          <m:f>
            <m:fPr>
              <m:type m:val="bar"/>
            </m:fPr>
            <m:num>
              <m:r>
                <m:rPr>
                  <m:sty m:val="p"/>
                </m:rPr>
                <w:rPr>
                  <w:rFonts w:ascii="Cambria Math" w:hAnsi="Cambria Math"/>
                  <w:sz w:val="24"/>
                </w:rPr>
                <m:t>exp</m:t>
              </m:r>
              <m:d>
                <m:dPr>
                  <m:sepChr m:val=""/>
                </m:dPr>
                <m:e>
                  <m:sSub>
                    <m:e>
                      <m:r>
                        <w:rPr>
                          <w:rFonts w:ascii="Cambria Math" w:hAnsi="Cambria Math"/>
                          <w:sz w:val="24"/>
                        </w:rPr>
                        <m:t>x</m:t>
                      </m:r>
                    </m:e>
                    <m:sub>
                      <m:r>
                        <w:rPr>
                          <w:rFonts w:ascii="Cambria Math" w:hAnsi="Cambria Math"/>
                          <w:sz w:val="24"/>
                        </w:rPr>
                        <m:t>i,t</m:t>
                      </m:r>
                    </m:sub>
                  </m:sSub>
                  <m:r>
                    <w:rPr>
                      <w:rFonts w:ascii="Cambria Math" w:hAnsi="Cambria Math"/>
                      <w:sz w:val="24"/>
                    </w:rPr>
                    <m:t>′β+</m:t>
                  </m:r>
                  <m:sSub>
                    <m:e>
                      <m:r>
                        <w:rPr>
                          <w:rFonts w:ascii="Cambria Math" w:hAnsi="Cambria Math"/>
                          <w:sz w:val="24"/>
                        </w:rPr>
                        <m:t>s</m:t>
                      </m:r>
                    </m:e>
                    <m:sub>
                      <m:r>
                        <w:rPr>
                          <w:rFonts w:ascii="Cambria Math" w:hAnsi="Cambria Math"/>
                          <w:sz w:val="24"/>
                        </w:rPr>
                        <m:t>i,t</m:t>
                      </m:r>
                    </m:sub>
                  </m:sSub>
                  <m:d>
                    <m:dPr>
                      <m:sepChr m:val=""/>
                    </m:dPr>
                    <m:e>
                      <m:r>
                        <w:rPr>
                          <w:rFonts w:ascii="Cambria Math" w:hAnsi="Cambria Math"/>
                          <w:sz w:val="24"/>
                        </w:rPr>
                        <m:t>r</m:t>
                      </m:r>
                    </m:e>
                  </m:d>
                </m:e>
              </m:d>
            </m:num>
            <m:den>
              <m:nary>
                <m:naryPr>
                  <m:chr m:val="∑"/>
                  <m:limLoc m:val="subSup"/>
                  <m:grow m:val="1"/>
                  <m:subHide m:val="off"/>
                  <m:supHide m:val="on"/>
                </m:naryPr>
                <m:sub>
                  <m:r>
                    <w:rPr>
                      <w:rFonts w:ascii="Cambria Math" w:hAnsi="Cambria Math"/>
                      <w:sz w:val="24"/>
                    </w:rPr>
                    <m:t>j∈</m:t>
                  </m:r>
                  <m:sSub>
                    <m:e>
                      <m:r>
                        <w:rPr>
                          <w:rFonts w:ascii="Cambria Math" w:hAnsi="Cambria Math"/>
                          <w:sz w:val="24"/>
                        </w:rPr>
                        <m:t>I</m:t>
                      </m:r>
                    </m:e>
                    <m:sub>
                      <m:r>
                        <w:rPr>
                          <w:rFonts w:ascii="Cambria Math" w:hAnsi="Cambria Math"/>
                          <w:sz w:val="24"/>
                        </w:rPr>
                        <m:t>t</m:t>
                      </m:r>
                    </m:sub>
                  </m:sSub>
                  <m:d>
                    <m:dPr>
                      <m:sepChr m:val=""/>
                    </m:dPr>
                    <m:e>
                      <m:r>
                        <w:rPr>
                          <w:rFonts w:ascii="Cambria Math" w:hAnsi="Cambria Math"/>
                          <w:sz w:val="24"/>
                        </w:rPr>
                        <m:t>r</m:t>
                      </m:r>
                    </m:e>
                  </m:d>
                </m:sub>
                <m:sup/>
                <m:e>
                  <m:r>
                    <m:rPr>
                      <m:sty m:val="p"/>
                    </m:rPr>
                    <w:rPr>
                      <w:rFonts w:ascii="Cambria Math" w:hAnsi="Cambria Math"/>
                      <w:sz w:val="24"/>
                    </w:rPr>
                    <m:t>exp</m:t>
                  </m:r>
                </m:e>
              </m:nary>
              <m:d>
                <m:dPr>
                  <m:sepChr m:val=""/>
                </m:dPr>
                <m:e>
                  <m:sSub>
                    <m:e>
                      <m:r>
                        <w:rPr>
                          <w:rFonts w:ascii="Cambria Math" w:hAnsi="Cambria Math"/>
                          <w:sz w:val="24"/>
                        </w:rPr>
                        <m:t>x</m:t>
                      </m:r>
                    </m:e>
                    <m:sub>
                      <m:r>
                        <w:rPr>
                          <w:rFonts w:ascii="Cambria Math" w:hAnsi="Cambria Math"/>
                          <w:sz w:val="24"/>
                        </w:rPr>
                        <m:t>j,t</m:t>
                      </m:r>
                    </m:sub>
                  </m:sSub>
                  <m:r>
                    <w:rPr>
                      <w:rFonts w:ascii="Cambria Math" w:hAnsi="Cambria Math"/>
                      <w:sz w:val="24"/>
                    </w:rPr>
                    <m:t>′β+</m:t>
                  </m:r>
                  <m:sSub>
                    <m:e>
                      <m:r>
                        <w:rPr>
                          <w:rFonts w:ascii="Cambria Math" w:hAnsi="Cambria Math"/>
                          <w:sz w:val="24"/>
                        </w:rPr>
                        <m:t>s</m:t>
                      </m:r>
                    </m:e>
                    <m:sub>
                      <m:r>
                        <w:rPr>
                          <w:rFonts w:ascii="Cambria Math" w:hAnsi="Cambria Math"/>
                          <w:sz w:val="24"/>
                        </w:rPr>
                        <m:t>j,t</m:t>
                      </m:r>
                    </m:sub>
                  </m:sSub>
                  <m:d>
                    <m:dPr>
                      <m:sepChr m:val=""/>
                    </m:dPr>
                    <m:e>
                      <m:r>
                        <w:rPr>
                          <w:rFonts w:ascii="Cambria Math" w:hAnsi="Cambria Math"/>
                          <w:sz w:val="24"/>
                        </w:rPr>
                        <m:t>r</m:t>
                      </m:r>
                    </m:e>
                  </m:d>
                </m:e>
              </m:d>
            </m:den>
          </m:f>
          <m:r>
            <w:rPr>
              <w:rFonts w:ascii="Cambria Math" w:hAnsi="Cambria Math"/>
              <w:sz w:val="24"/>
            </w:rPr>
            <m:t>,</m:t>
          </m:r>
        </m:oMath>
      </m:oMathPara>
    </w:p>
    <w:p>
      <w:pPr>
        <w:keepLines/>
        <w:spacing w:line="240" w:lineRule="auto"/>
        <w:jc w:val="center"/>
      </w:pPr>
      <m:oMathPara>
        <m:oMath>
          <m:sSub>
            <m:e>
              <m:r>
                <w:rPr>
                  <w:rFonts w:ascii="Cambria Math" w:hAnsi="Cambria Math"/>
                  <w:sz w:val="24"/>
                </w:rPr>
                <m:t>s</m:t>
              </m:r>
            </m:e>
            <m:sub>
              <m:r>
                <w:rPr>
                  <w:rFonts w:ascii="Cambria Math" w:hAnsi="Cambria Math"/>
                  <w:sz w:val="24"/>
                </w:rPr>
                <m:t>t+1</m:t>
              </m:r>
            </m:sub>
          </m:sSub>
          <m:r>
            <w:rPr>
              <w:rFonts w:ascii="Cambria Math" w:hAnsi="Cambria Math"/>
              <w:sz w:val="24"/>
            </w:rPr>
            <m:t>=</m:t>
          </m:r>
          <m:sSub>
            <m:e>
              <m:r>
                <w:rPr>
                  <w:rFonts w:ascii="Cambria Math" w:hAnsi="Cambria Math"/>
                  <w:sz w:val="24"/>
                </w:rPr>
                <m:t>F</m:t>
              </m:r>
            </m:e>
            <m:sub>
              <m:r>
                <w:rPr>
                  <w:rFonts w:ascii="Cambria Math" w:hAnsi="Cambria Math"/>
                  <w:sz w:val="24"/>
                </w:rPr>
                <m:t>r</m:t>
              </m:r>
            </m:sub>
          </m:sSub>
          <m:d>
            <m:dPr>
              <m:sepChr m:val=""/>
            </m:dPr>
            <m:e>
              <m:sSub>
                <m:e>
                  <m:r>
                    <w:rPr>
                      <w:rFonts w:ascii="Cambria Math" w:hAnsi="Cambria Math"/>
                      <w:sz w:val="24"/>
                    </w:rPr>
                    <m:t>s</m:t>
                  </m:r>
                </m:e>
                <m:sub>
                  <m:r>
                    <w:rPr>
                      <w:rFonts w:ascii="Cambria Math" w:hAnsi="Cambria Math"/>
                      <w:sz w:val="24"/>
                    </w:rPr>
                    <m:t>t</m:t>
                  </m:r>
                </m:sub>
              </m:sSub>
              <m:r>
                <w:rPr>
                  <w:rFonts w:ascii="Cambria Math" w:hAnsi="Cambria Math"/>
                  <w:sz w:val="24"/>
                </w:rPr>
                <m:t>,</m:t>
              </m:r>
              <m:sSub>
                <m:e>
                  <m:r>
                    <w:rPr>
                      <w:rFonts w:ascii="Cambria Math" w:hAnsi="Cambria Math"/>
                      <w:sz w:val="24"/>
                    </w:rPr>
                    <m:t>J</m:t>
                  </m:r>
                </m:e>
                <m:sub>
                  <m:r>
                    <w:rPr>
                      <w:rFonts w:ascii="Cambria Math" w:hAnsi="Cambria Math"/>
                      <w:sz w:val="24"/>
                    </w:rPr>
                    <m:t>t+1</m:t>
                  </m:r>
                </m:sub>
              </m:sSub>
              <m:r>
                <w:rPr>
                  <w:rFonts w:ascii="Cambria Math" w:hAnsi="Cambria Math"/>
                  <w:sz w:val="24"/>
                </w:rPr>
                <m:t>,</m:t>
              </m:r>
              <m:sSub>
                <m:e>
                  <m:r>
                    <w:rPr>
                      <w:rFonts w:ascii="Cambria Math" w:hAnsi="Cambria Math"/>
                      <w:sz w:val="24"/>
                    </w:rPr>
                    <m:t>x</m:t>
                  </m:r>
                </m:e>
                <m:sub>
                  <m:r>
                    <w:rPr>
                      <w:rFonts w:ascii="Cambria Math" w:hAnsi="Cambria Math"/>
                      <w:sz w:val="24"/>
                    </w:rPr>
                    <m:t>t</m:t>
                  </m:r>
                </m:sub>
              </m:sSub>
            </m:e>
          </m:d>
          <m:r>
            <w:rPr>
              <w:rFonts w:ascii="Cambria Math" w:hAnsi="Cambria Math"/>
              <w:sz w:val="24"/>
            </w:rPr>
            <m:t>.</m:t>
          </m:r>
        </m:oMath>
      </m:oMathPara>
    </w:p>
    <w:p>
      <w:r>
        <w:t xml:space="preserve">Here θ includes β and uncertain features of demand, entry, and feedback. The comparison budget is </w:t>
      </w:r>
      <m:oMath>
        <m:sSub>
          <m:e>
            <m:r>
              <w:rPr>
                <w:rFonts w:ascii="Cambria Math" w:hAnsi="Cambria Math"/>
                <w:sz w:val="24"/>
              </w:rPr>
              <m:t>B</m:t>
            </m:r>
          </m:e>
          <m:sub>
            <m:r>
              <w:rPr>
                <w:rFonts w:ascii="Cambria Math" w:hAnsi="Cambria Math"/>
                <w:sz w:val="24"/>
              </w:rPr>
              <m:t>T</m:t>
            </m:r>
          </m:sub>
        </m:sSub>
      </m:oMath>
      <w:r>
        <w:t xml:space="preserve">(θ; r) = </w:t>
      </w:r>
      <m:oMath>
        <m:nary>
          <m:naryPr>
            <m:chr m:val="∑"/>
            <m:limLoc m:val="subSup"/>
            <m:grow m:val="1"/>
            <m:subHide m:val="off"/>
            <m:supHide m:val="on"/>
          </m:naryPr>
          <m:sub>
            <m:r>
              <w:rPr>
                <w:rFonts w:ascii="Cambria Math" w:hAnsi="Cambria Math"/>
                <w:sz w:val="24"/>
              </w:rPr>
              <m:t>t&lt;T</m:t>
            </m:r>
          </m:sub>
          <m:sup/>
          <m:e/>
        </m:nary>
      </m:oMath>
      <w:r>
        <w:t xml:space="preserve">[1 − </w:t>
      </w:r>
      <m:oMath>
        <m:sSub>
          <m:e>
            <m:r>
              <m:rPr>
                <m:sty m:val="p"/>
              </m:rPr>
              <w:rPr>
                <w:rFonts w:ascii="Cambria Math" w:hAnsi="Cambria Math"/>
                <w:sz w:val="24"/>
              </w:rPr>
              <m:t>max</m:t>
            </m:r>
          </m:e>
          <m:sub>
            <m:r>
              <w:rPr>
                <w:rFonts w:ascii="Cambria Math" w:hAnsi="Cambria Math"/>
                <w:sz w:val="24"/>
              </w:rPr>
              <m:t>i</m:t>
            </m:r>
          </m:sub>
        </m:sSub>
      </m:oMath>
      <w:r>
        <w:t xml:space="preserve"> </w:t>
      </w:r>
      <m:oMath>
        <m:sSub>
          <m:e>
            <m:r>
              <w:rPr>
                <w:rFonts w:ascii="Cambria Math" w:hAnsi="Cambria Math"/>
                <w:sz w:val="24"/>
              </w:rPr>
              <m:t>p</m:t>
            </m:r>
          </m:e>
          <m:sub>
            <m:r>
              <w:rPr>
                <w:rFonts w:ascii="Cambria Math" w:hAnsi="Cambria Math"/>
                <w:sz w:val="24"/>
              </w:rPr>
              <m:t>i,t</m:t>
            </m:r>
          </m:sub>
        </m:sSub>
      </m:oMath>
      <w:r>
        <w:t xml:space="preserve">(θ; r)]. Access, entry, and reinforcement generate this budget; neither a concentration index nor a market-power designation is a primitive. Lower entry costs need not create informative variation, while a single service provider can maintain comparisons among many suppliers.</w:t>
      </w:r>
    </w:p>
    <w:p>
      <w:r>
        <w:t xml:space="preserve">The experiment </w:t>
      </w:r>
      <m:oMath>
        <m:sSub>
          <m:e>
            <m:r>
              <w:rPr>
                <w:rFonts w:ascii="Cambria Math" w:hAnsi="Cambria Math"/>
                <w:sz w:val="24"/>
              </w:rPr>
              <m:t>E</m:t>
            </m:r>
          </m:e>
          <m:sub>
            <m:r>
              <w:rPr>
                <w:rFonts w:ascii="Cambria Math" w:hAnsi="Cambria Math"/>
                <w:sz w:val="24"/>
              </w:rPr>
              <m:t>r</m:t>
            </m:r>
          </m:sub>
        </m:sSub>
      </m:oMath>
      <w:r>
        <w:t xml:space="preserve"> includes every registered observation used for inference: inputs, recipient choices, outcomes, policy versions, and legitimately observed propensities. Additional parameter-dependent observations cannot be omitted when invoking the impossibility theorem. Policies may also change effort, entry, or preferences. Comparisons across policies require an explicitly defended structural model and transportability conditions, rather than an assumption that the same β survives every intervention. Empirical allocation probabilities require independent measurement or justified bounds; aggregate shares alone are insufficient.</w:t>
      </w:r>
    </w:p>
    <w:p>
      <w:pPr>
        <w:pStyle w:val="Heading1"/>
      </w:pPr>
      <w:r>
        <w:t xml:space="preserve">3. Welfare and the value of information</w:t>
      </w:r>
    </w:p>
    <w:p>
      <w:r>
        <w:t xml:space="preserve">Consider finite states Θ, finite signal spaces, and a common feasible action set A. The prior μ conditions on information already available. A socially specified bounded loss ℓ(a, θ) records the consequences of a prospective decision at review date L. A decision rule d maps signals to randomized actions. Define Bayes risk and the additional informational value relative to existing experiment </w:t>
      </w:r>
      <m:oMath>
        <m:sSub>
          <m:e>
            <m:r>
              <w:rPr>
                <w:rFonts w:ascii="Cambria Math" w:hAnsi="Cambria Math"/>
                <w:sz w:val="24"/>
              </w:rPr>
              <m:t>E</m:t>
            </m:r>
          </m:e>
          <m:sub>
            <m:r>
              <w:rPr>
                <w:rFonts w:ascii="Cambria Math" w:hAnsi="Cambria Math"/>
                <w:sz w:val="24"/>
              </w:rPr>
              <m:t>0</m:t>
            </m:r>
          </m:sub>
        </m:sSub>
      </m:oMath>
      <w:r>
        <w:t xml:space="preserve">:</w:t>
      </w:r>
    </w:p>
    <w:p>
      <w:pPr>
        <w:keepNext/>
        <w:keepLines/>
        <w:spacing w:line="240" w:lineRule="auto"/>
        <w:jc w:val="center"/>
      </w:pPr>
      <m:oMathPara>
        <m:oMath>
          <m:sSub>
            <m:e>
              <m:r>
                <w:rPr>
                  <w:rFonts w:ascii="Cambria Math" w:hAnsi="Cambria Math"/>
                  <w:sz w:val="24"/>
                </w:rPr>
                <m:t>R</m:t>
              </m:r>
            </m:e>
            <m:sub>
              <m:r>
                <w:rPr>
                  <w:rFonts w:ascii="Cambria Math" w:hAnsi="Cambria Math"/>
                  <w:sz w:val="24"/>
                </w:rPr>
                <m:t>μ</m:t>
              </m:r>
            </m:sub>
          </m:sSub>
          <m:d>
            <m:dPr>
              <m:sepChr m:val=""/>
            </m:dPr>
            <m:e>
              <m:sSub>
                <m:e>
                  <m:r>
                    <w:rPr>
                      <w:rFonts w:ascii="Cambria Math" w:hAnsi="Cambria Math"/>
                      <w:sz w:val="24"/>
                    </w:rPr>
                    <m:t>E</m:t>
                  </m:r>
                </m:e>
                <m:sub>
                  <m:r>
                    <w:rPr>
                      <w:rFonts w:ascii="Cambria Math" w:hAnsi="Cambria Math"/>
                      <w:sz w:val="24"/>
                    </w:rPr>
                    <m:t>r</m:t>
                  </m:r>
                </m:sub>
              </m:sSub>
            </m:e>
          </m:d>
          <m:r>
            <w:rPr>
              <w:rFonts w:ascii="Cambria Math" w:hAnsi="Cambria Math"/>
              <w:sz w:val="24"/>
            </w:rPr>
            <m:t>=</m:t>
          </m:r>
          <m:sSub>
            <m:e>
              <m:r>
                <m:rPr>
                  <m:sty m:val="p"/>
                </m:rPr>
                <w:rPr>
                  <w:rFonts w:ascii="Cambria Math" w:hAnsi="Cambria Math"/>
                  <w:sz w:val="24"/>
                </w:rPr>
                <m:t>min</m:t>
              </m:r>
            </m:e>
            <m:sub>
              <m:r>
                <w:rPr>
                  <w:rFonts w:ascii="Cambria Math" w:hAnsi="Cambria Math"/>
                  <w:sz w:val="24"/>
                </w:rPr>
                <m:t>d</m:t>
              </m:r>
            </m:sub>
          </m:sSub>
          <m:sSub>
            <m:e>
              <m:r>
                <m:rPr>
                  <m:sty m:val="p"/>
                </m:rPr>
                <w:rPr>
                  <w:rFonts w:ascii="Cambria Math" w:hAnsi="Cambria Math"/>
                  <w:sz w:val="24"/>
                </w:rPr>
                <m:t>𝔼</m:t>
              </m:r>
            </m:e>
            <m:sub>
              <m:r>
                <w:rPr>
                  <w:rFonts w:ascii="Cambria Math" w:hAnsi="Cambria Math"/>
                  <w:sz w:val="24"/>
                </w:rPr>
                <m:t>μ,</m:t>
              </m:r>
              <m:sSub>
                <m:e>
                  <m:r>
                    <w:rPr>
                      <w:rFonts w:ascii="Cambria Math" w:hAnsi="Cambria Math"/>
                      <w:sz w:val="24"/>
                    </w:rPr>
                    <m:t>E</m:t>
                  </m:r>
                </m:e>
                <m:sub>
                  <m:r>
                    <w:rPr>
                      <w:rFonts w:ascii="Cambria Math" w:hAnsi="Cambria Math"/>
                      <w:sz w:val="24"/>
                    </w:rPr>
                    <m:t>r</m:t>
                  </m:r>
                </m:sub>
              </m:sSub>
            </m:sub>
          </m:sSub>
          <m:d>
            <m:dPr>
              <m:begChr m:val="["/>
              <m:sepChr m:val=""/>
              <m:endChr m:val="]"/>
            </m:dPr>
            <m:e>
              <m:r>
                <w:rPr>
                  <w:rFonts w:ascii="Cambria Math" w:hAnsi="Cambria Math"/>
                  <w:sz w:val="24"/>
                </w:rPr>
                <m:t>ℓ</m:t>
              </m:r>
              <m:d>
                <m:dPr>
                  <m:sepChr m:val=""/>
                </m:dPr>
                <m:e>
                  <m:r>
                    <w:rPr>
                      <w:rFonts w:ascii="Cambria Math" w:hAnsi="Cambria Math"/>
                      <w:sz w:val="24"/>
                    </w:rPr>
                    <m:t>d</m:t>
                  </m:r>
                  <m:d>
                    <m:dPr>
                      <m:sepChr m:val=""/>
                    </m:dPr>
                    <m:e>
                      <m:sSub>
                        <m:e>
                          <m:r>
                            <w:rPr>
                              <w:rFonts w:ascii="Cambria Math" w:hAnsi="Cambria Math"/>
                              <w:sz w:val="24"/>
                            </w:rPr>
                            <m:t>Y</m:t>
                          </m:r>
                        </m:e>
                        <m:sub>
                          <m:r>
                            <w:rPr>
                              <w:rFonts w:ascii="Cambria Math" w:hAnsi="Cambria Math"/>
                              <w:sz w:val="24"/>
                            </w:rPr>
                            <m:t>r</m:t>
                          </m:r>
                        </m:sub>
                      </m:sSub>
                    </m:e>
                  </m:d>
                  <m:r>
                    <w:rPr>
                      <w:rFonts w:ascii="Cambria Math" w:hAnsi="Cambria Math"/>
                      <w:sz w:val="24"/>
                    </w:rPr>
                    <m:t>,θ</m:t>
                  </m:r>
                </m:e>
              </m:d>
            </m:e>
          </m:d>
          <m:r>
            <w:rPr>
              <w:rFonts w:ascii="Cambria Math" w:hAnsi="Cambria Math"/>
              <w:sz w:val="24"/>
            </w:rPr>
            <m:t>,</m:t>
          </m:r>
        </m:oMath>
      </m:oMathPara>
    </w:p>
    <w:p>
      <w:pPr>
        <w:keepLines/>
        <w:spacing w:line="240" w:lineRule="auto"/>
        <w:jc w:val="center"/>
      </w:pPr>
      <m:oMathPara>
        <m:oMath>
          <m:sSub>
            <m:e>
              <m:r>
                <w:rPr>
                  <w:rFonts w:ascii="Cambria Math" w:hAnsi="Cambria Math"/>
                  <w:sz w:val="24"/>
                </w:rPr>
                <m:t>V</m:t>
              </m:r>
            </m:e>
            <m:sub>
              <m:r>
                <w:rPr>
                  <w:rFonts w:ascii="Cambria Math" w:hAnsi="Cambria Math"/>
                  <w:sz w:val="24"/>
                </w:rPr>
                <m:t>r</m:t>
              </m:r>
            </m:sub>
          </m:sSub>
          <m:r>
            <w:rPr>
              <w:rFonts w:ascii="Cambria Math" w:hAnsi="Cambria Math"/>
              <w:sz w:val="24"/>
            </w:rPr>
            <m:t>=</m:t>
          </m:r>
          <m:sSub>
            <m:e>
              <m:r>
                <w:rPr>
                  <w:rFonts w:ascii="Cambria Math" w:hAnsi="Cambria Math"/>
                  <w:sz w:val="24"/>
                </w:rPr>
                <m:t>R</m:t>
              </m:r>
            </m:e>
            <m:sub>
              <m:r>
                <w:rPr>
                  <w:rFonts w:ascii="Cambria Math" w:hAnsi="Cambria Math"/>
                  <w:sz w:val="24"/>
                </w:rPr>
                <m:t>μ</m:t>
              </m:r>
            </m:sub>
          </m:sSub>
          <m:d>
            <m:dPr>
              <m:sepChr m:val=""/>
            </m:dPr>
            <m:e>
              <m:sSub>
                <m:e>
                  <m:r>
                    <w:rPr>
                      <w:rFonts w:ascii="Cambria Math" w:hAnsi="Cambria Math"/>
                      <w:sz w:val="24"/>
                    </w:rPr>
                    <m:t>E</m:t>
                  </m:r>
                </m:e>
                <m:sub>
                  <m:r>
                    <w:rPr>
                      <w:rFonts w:ascii="Cambria Math" w:hAnsi="Cambria Math"/>
                      <w:sz w:val="24"/>
                    </w:rPr>
                    <m:t>0</m:t>
                  </m:r>
                </m:sub>
              </m:sSub>
            </m:e>
          </m:d>
          <m:r>
            <w:rPr>
              <w:rFonts w:ascii="Cambria Math" w:hAnsi="Cambria Math"/>
              <w:sz w:val="24"/>
            </w:rPr>
            <m:t>−</m:t>
          </m:r>
          <m:sSub>
            <m:e>
              <m:r>
                <w:rPr>
                  <w:rFonts w:ascii="Cambria Math" w:hAnsi="Cambria Math"/>
                  <w:sz w:val="24"/>
                </w:rPr>
                <m:t>R</m:t>
              </m:r>
            </m:e>
            <m:sub>
              <m:r>
                <w:rPr>
                  <w:rFonts w:ascii="Cambria Math" w:hAnsi="Cambria Math"/>
                  <w:sz w:val="24"/>
                </w:rPr>
                <m:t>μ</m:t>
              </m:r>
            </m:sub>
          </m:sSub>
          <m:d>
            <m:dPr>
              <m:sepChr m:val=""/>
            </m:dPr>
            <m:e>
              <m:sSub>
                <m:e>
                  <m:r>
                    <w:rPr>
                      <w:rFonts w:ascii="Cambria Math" w:hAnsi="Cambria Math"/>
                      <w:sz w:val="24"/>
                    </w:rPr>
                    <m:t>E</m:t>
                  </m:r>
                </m:e>
                <m:sub>
                  <m:r>
                    <w:rPr>
                      <w:rFonts w:ascii="Cambria Math" w:hAnsi="Cambria Math"/>
                      <w:sz w:val="24"/>
                    </w:rPr>
                    <m:t>r</m:t>
                  </m:r>
                </m:sub>
              </m:sSub>
            </m:e>
          </m:d>
          <m:r>
            <w:rPr>
              <w:rFonts w:ascii="Cambria Math" w:hAnsi="Cambria Math"/>
              <w:sz w:val="24"/>
            </w:rPr>
            <m:t>.</m:t>
          </m:r>
        </m:oMath>
      </m:oMathPara>
    </w:p>
    <w:p>
      <w:r>
        <w:t xml:space="preserve">The action might be selecting a procurement rule, a safety standard, or an access design. Its loss function must identify beneficiaries, distributional weights, and the consequences of mistakes. Recovering a historical contribution parameter has policy value only through such a decision or another explicitly specified objective. Precision is not itself a welfare unit.</w:t>
      </w:r>
    </w:p>
    <w:p>
      <w:r>
        <w:t xml:space="preserve">Let </w:t>
      </w:r>
      <m:oMath>
        <m:sSub>
          <m:e>
            <m:r>
              <w:rPr>
                <w:rFonts w:ascii="Cambria Math" w:hAnsi="Cambria Math"/>
                <w:sz w:val="24"/>
              </w:rPr>
              <m:t>S</m:t>
            </m:r>
          </m:e>
          <m:sub>
            <m:r>
              <w:rPr>
                <w:rFonts w:ascii="Cambria Math" w:hAnsi="Cambria Math"/>
                <w:sz w:val="24"/>
              </w:rPr>
              <m:t>r</m:t>
            </m:r>
          </m:sub>
        </m:sSub>
      </m:oMath>
      <w:r>
        <w:t xml:space="preserve"> measure discounted operating surplus and direct efficiency effects before review, net of ordinary production costs. Let </w:t>
      </w:r>
      <m:oMath>
        <m:sSub>
          <m:e>
            <m:r>
              <w:rPr>
                <w:rFonts w:ascii="Cambria Math" w:hAnsi="Cambria Math"/>
                <w:sz w:val="24"/>
              </w:rPr>
              <m:t>C</m:t>
            </m:r>
          </m:e>
          <m:sub>
            <m:r>
              <w:rPr>
                <w:rFonts w:ascii="Cambria Math" w:hAnsi="Cambria Math"/>
                <w:sz w:val="24"/>
              </w:rPr>
              <m:t>r</m:t>
            </m:r>
          </m:sub>
        </m:sSub>
      </m:oMath>
      <w:r>
        <w:t xml:space="preserve"> measure additional transition, auditing, privacy, security, duplication, and investment-distortion costs. The accounting convention separates these costs from the future decision loss and avoids counting the same effect twice. A simple welfare representation is:</w:t>
      </w:r>
    </w:p>
    <w:p>
      <w:pPr>
        <w:keepLines/>
        <w:spacing w:line="240" w:lineRule="auto"/>
        <w:jc w:val="center"/>
      </w:pPr>
      <m:oMathPara>
        <m:oMath>
          <m:r>
            <w:rPr>
              <w:rFonts w:ascii="Cambria Math" w:hAnsi="Cambria Math"/>
              <w:sz w:val="24"/>
            </w:rPr>
            <m:t>W</m:t>
          </m:r>
          <m:d>
            <m:dPr>
              <m:sepChr m:val=""/>
            </m:dPr>
            <m:e>
              <m:r>
                <w:rPr>
                  <w:rFonts w:ascii="Cambria Math" w:hAnsi="Cambria Math"/>
                  <w:sz w:val="24"/>
                </w:rPr>
                <m:t>r</m:t>
              </m:r>
            </m:e>
          </m:d>
          <m:r>
            <w:rPr>
              <w:rFonts w:ascii="Cambria Math" w:hAnsi="Cambria Math"/>
              <w:sz w:val="24"/>
            </w:rPr>
            <m:t>=</m:t>
          </m:r>
          <m:sSub>
            <m:e>
              <m:r>
                <w:rPr>
                  <w:rFonts w:ascii="Cambria Math" w:hAnsi="Cambria Math"/>
                  <w:sz w:val="24"/>
                </w:rPr>
                <m:t>S</m:t>
              </m:r>
            </m:e>
            <m:sub>
              <m:r>
                <w:rPr>
                  <w:rFonts w:ascii="Cambria Math" w:hAnsi="Cambria Math"/>
                  <w:sz w:val="24"/>
                </w:rPr>
                <m:t>r</m:t>
              </m:r>
            </m:sub>
          </m:sSub>
          <m:r>
            <w:rPr>
              <w:rFonts w:ascii="Cambria Math" w:hAnsi="Cambria Math"/>
              <w:sz w:val="24"/>
            </w:rPr>
            <m:t>−</m:t>
          </m:r>
          <m:sSub>
            <m:e>
              <m:r>
                <w:rPr>
                  <w:rFonts w:ascii="Cambria Math" w:hAnsi="Cambria Math"/>
                  <w:sz w:val="24"/>
                </w:rPr>
                <m:t>C</m:t>
              </m:r>
            </m:e>
            <m:sub>
              <m:r>
                <w:rPr>
                  <w:rFonts w:ascii="Cambria Math" w:hAnsi="Cambria Math"/>
                  <w:sz w:val="24"/>
                </w:rPr>
                <m:t>r</m:t>
              </m:r>
            </m:sub>
          </m:sSub>
          <m:r>
            <w:rPr>
              <w:rFonts w:ascii="Cambria Math" w:hAnsi="Cambria Math"/>
              <w:sz w:val="24"/>
            </w:rPr>
            <m:t>+</m:t>
          </m:r>
          <m:sSup>
            <m:e>
              <m:r>
                <w:rPr>
                  <w:rFonts w:ascii="Cambria Math" w:hAnsi="Cambria Math"/>
                  <w:sz w:val="24"/>
                </w:rPr>
                <m:t>δ</m:t>
              </m:r>
            </m:e>
            <m:sup>
              <m:r>
                <w:rPr>
                  <w:rFonts w:ascii="Cambria Math" w:hAnsi="Cambria Math"/>
                  <w:sz w:val="24"/>
                </w:rPr>
                <m:t>L</m:t>
              </m:r>
            </m:sup>
          </m:sSup>
          <m:sSub>
            <m:e>
              <m:r>
                <w:rPr>
                  <w:rFonts w:ascii="Cambria Math" w:hAnsi="Cambria Math"/>
                  <w:sz w:val="24"/>
                </w:rPr>
                <m:t>V</m:t>
              </m:r>
            </m:e>
            <m:sub>
              <m:r>
                <w:rPr>
                  <w:rFonts w:ascii="Cambria Math" w:hAnsi="Cambria Math"/>
                  <w:sz w:val="24"/>
                </w:rPr>
                <m:t>r</m:t>
              </m:r>
            </m:sub>
          </m:sSub>
          <m:r>
            <w:rPr>
              <w:rFonts w:ascii="Cambria Math" w:hAnsi="Cambria Math"/>
              <w:sz w:val="24"/>
            </w:rPr>
            <m:t>,</m:t>
          </m:r>
          <m:r>
            <m:rPr>
              <m:nor/>
            </m:rPr>
            <w:rPr>
              <w:rFonts w:ascii="Cambria Math" w:hAnsi="Cambria Math"/>
              <w:sz w:val="24"/>
            </w:rPr>
            <m:t> </m:t>
          </m:r>
          <m:r>
            <w:rPr>
              <w:rFonts w:ascii="Cambria Math" w:hAnsi="Cambria Math"/>
              <w:sz w:val="24"/>
            </w:rPr>
            <m:t>0&lt;δ≤1.</m:t>
          </m:r>
        </m:oMath>
      </m:oMathPara>
    </w:p>
    <w:p>
      <w:r>
        <w:t xml:space="preserve">Blackwell's (1953) ordering gives a conditional informational result. A more informative experiment cannot raise optimal risk when states, prior, feasible actions, and loss are fixed, the observation model is correct, and the decision maker can ignore information or emulate the coarser experiment. This establishes nonnegative gross value, not nonnegative net welfare. Strict value requires a signal that changes a consequential decision; redundant records can have zero value.</w:t>
      </w:r>
    </w:p>
    <w:p>
      <w:r>
        <w:t xml:space="preserve">An information externality requires further premises: comparisons must improve someone else's attainable decisions, and their generator must be unable or unwilling to internalize those benefits. The comparison-budget theorem establishes neither premise. Distributional disagreement about the loss function is also substantive; it cannot be resolved by calling every additional comparison a public good.</w:t>
      </w:r>
    </w:p>
    <w:p>
      <w:pPr>
        <w:pStyle w:val="Heading1"/>
      </w:pPr>
      <w:r>
        <w:t xml:space="preserve">4. A conditional proposition and a scale counterexample</w:t>
      </w:r>
    </w:p>
    <w:p>
      <w:r>
        <w:t xml:space="preserve">Proposition 1. Suppose </w:t>
      </w:r>
      <m:oMath>
        <m:sSub>
          <m:e>
            <m:r>
              <w:rPr>
                <w:rFonts w:ascii="Cambria Math" w:hAnsi="Cambria Math"/>
                <w:sz w:val="24"/>
              </w:rPr>
              <m:t>E</m:t>
            </m:r>
          </m:e>
          <m:sub>
            <m:r>
              <w:rPr>
                <w:rFonts w:ascii="Cambria Math" w:hAnsi="Cambria Math"/>
                <w:sz w:val="24"/>
              </w:rPr>
              <m:t>0</m:t>
            </m:r>
          </m:sub>
        </m:sSub>
      </m:oMath>
      <w:r>
        <w:t xml:space="preserve"> is obtained from </w:t>
      </w:r>
      <m:oMath>
        <m:sSub>
          <m:e>
            <m:r>
              <w:rPr>
                <w:rFonts w:ascii="Cambria Math" w:hAnsi="Cambria Math"/>
                <w:sz w:val="24"/>
              </w:rPr>
              <m:t>E</m:t>
            </m:r>
          </m:e>
          <m:sub>
            <m:r>
              <w:rPr>
                <w:rFonts w:ascii="Cambria Math" w:hAnsi="Cambria Math"/>
                <w:sz w:val="24"/>
              </w:rPr>
              <m:t>1</m:t>
            </m:r>
          </m:sub>
        </m:sSub>
      </m:oMath>
      <w:r>
        <w:t xml:space="preserve"> by a state-independent stochastic garbling. Assume the finite decision problem above, common μ, A, and ℓ, and that policies 0 and 1 differ otherwise only through separately recorded S and C. Then </w:t>
      </w:r>
      <m:oMath>
        <m:sSub>
          <m:e>
            <m:r>
              <w:rPr>
                <w:rFonts w:ascii="Cambria Math" w:hAnsi="Cambria Math"/>
                <w:sz w:val="24"/>
              </w:rPr>
              <m:t>R</m:t>
            </m:r>
          </m:e>
          <m:sub>
            <m:r>
              <w:rPr>
                <w:rFonts w:ascii="Cambria Math" w:hAnsi="Cambria Math"/>
                <w:sz w:val="24"/>
              </w:rPr>
              <m:t>μ</m:t>
            </m:r>
          </m:sub>
        </m:sSub>
      </m:oMath>
      <w:r>
        <w:t xml:space="preserve">(</w:t>
      </w:r>
      <m:oMath>
        <m:sSub>
          <m:e>
            <m:r>
              <w:rPr>
                <w:rFonts w:ascii="Cambria Math" w:hAnsi="Cambria Math"/>
                <w:sz w:val="24"/>
              </w:rPr>
              <m:t>E</m:t>
            </m:r>
          </m:e>
          <m:sub>
            <m:r>
              <w:rPr>
                <w:rFonts w:ascii="Cambria Math" w:hAnsi="Cambria Math"/>
                <w:sz w:val="24"/>
              </w:rPr>
              <m:t>1</m:t>
            </m:r>
          </m:sub>
        </m:sSub>
      </m:oMath>
      <w:r>
        <w:t xml:space="preserve">) ≤ </w:t>
      </w:r>
      <m:oMath>
        <m:sSub>
          <m:e>
            <m:r>
              <w:rPr>
                <w:rFonts w:ascii="Cambria Math" w:hAnsi="Cambria Math"/>
                <w:sz w:val="24"/>
              </w:rPr>
              <m:t>R</m:t>
            </m:r>
          </m:e>
          <m:sub>
            <m:r>
              <w:rPr>
                <w:rFonts w:ascii="Cambria Math" w:hAnsi="Cambria Math"/>
                <w:sz w:val="24"/>
              </w:rPr>
              <m:t>μ</m:t>
            </m:r>
          </m:sub>
        </m:sSub>
      </m:oMath>
      <w:r>
        <w:t xml:space="preserve">(</w:t>
      </w:r>
      <m:oMath>
        <m:sSub>
          <m:e>
            <m:r>
              <w:rPr>
                <w:rFonts w:ascii="Cambria Math" w:hAnsi="Cambria Math"/>
                <w:sz w:val="24"/>
              </w:rPr>
              <m:t>E</m:t>
            </m:r>
          </m:e>
          <m:sub>
            <m:r>
              <w:rPr>
                <w:rFonts w:ascii="Cambria Math" w:hAnsi="Cambria Math"/>
                <w:sz w:val="24"/>
              </w:rPr>
              <m:t>0</m:t>
            </m:r>
          </m:sub>
        </m:sSub>
      </m:oMath>
      <w:r>
        <w:t xml:space="preserve">), and policy 1 weakly improves welfare exactly when:</w:t>
      </w:r>
    </w:p>
    <w:p>
      <w:pPr>
        <w:keepLines/>
        <w:spacing w:line="240" w:lineRule="auto"/>
        <w:jc w:val="center"/>
      </w:pPr>
      <m:oMathPara>
        <m:oMath>
          <m:sSub>
            <m:e>
              <m:r>
                <w:rPr>
                  <w:rFonts w:ascii="Cambria Math" w:hAnsi="Cambria Math"/>
                  <w:sz w:val="24"/>
                </w:rPr>
                <m:t>C</m:t>
              </m:r>
            </m:e>
            <m:sub>
              <m:r>
                <w:rPr>
                  <w:rFonts w:ascii="Cambria Math" w:hAnsi="Cambria Math"/>
                  <w:sz w:val="24"/>
                </w:rPr>
                <m:t>1</m:t>
              </m:r>
            </m:sub>
          </m:sSub>
          <m:r>
            <w:rPr>
              <w:rFonts w:ascii="Cambria Math" w:hAnsi="Cambria Math"/>
              <w:sz w:val="24"/>
            </w:rPr>
            <m:t>−</m:t>
          </m:r>
          <m:sSub>
            <m:e>
              <m:r>
                <w:rPr>
                  <w:rFonts w:ascii="Cambria Math" w:hAnsi="Cambria Math"/>
                  <w:sz w:val="24"/>
                </w:rPr>
                <m:t>C</m:t>
              </m:r>
            </m:e>
            <m:sub>
              <m:r>
                <w:rPr>
                  <w:rFonts w:ascii="Cambria Math" w:hAnsi="Cambria Math"/>
                  <w:sz w:val="24"/>
                </w:rPr>
                <m:t>0</m:t>
              </m:r>
            </m:sub>
          </m:sSub>
          <m:r>
            <w:rPr>
              <w:rFonts w:ascii="Cambria Math" w:hAnsi="Cambria Math"/>
              <w:sz w:val="24"/>
            </w:rPr>
            <m:t>≤</m:t>
          </m:r>
          <m:sSub>
            <m:e>
              <m:r>
                <w:rPr>
                  <w:rFonts w:ascii="Cambria Math" w:hAnsi="Cambria Math"/>
                  <w:sz w:val="24"/>
                </w:rPr>
                <m:t>S</m:t>
              </m:r>
            </m:e>
            <m:sub>
              <m:r>
                <w:rPr>
                  <w:rFonts w:ascii="Cambria Math" w:hAnsi="Cambria Math"/>
                  <w:sz w:val="24"/>
                </w:rPr>
                <m:t>1</m:t>
              </m:r>
            </m:sub>
          </m:sSub>
          <m:r>
            <w:rPr>
              <w:rFonts w:ascii="Cambria Math" w:hAnsi="Cambria Math"/>
              <w:sz w:val="24"/>
            </w:rPr>
            <m:t>−</m:t>
          </m:r>
          <m:sSub>
            <m:e>
              <m:r>
                <w:rPr>
                  <w:rFonts w:ascii="Cambria Math" w:hAnsi="Cambria Math"/>
                  <w:sz w:val="24"/>
                </w:rPr>
                <m:t>S</m:t>
              </m:r>
            </m:e>
            <m:sub>
              <m:r>
                <w:rPr>
                  <w:rFonts w:ascii="Cambria Math" w:hAnsi="Cambria Math"/>
                  <w:sz w:val="24"/>
                </w:rPr>
                <m:t>0</m:t>
              </m:r>
            </m:sub>
          </m:sSub>
          <m:r>
            <w:rPr>
              <w:rFonts w:ascii="Cambria Math" w:hAnsi="Cambria Math"/>
              <w:sz w:val="24"/>
            </w:rPr>
            <m:t>+</m:t>
          </m:r>
          <m:sSup>
            <m:e>
              <m:r>
                <w:rPr>
                  <w:rFonts w:ascii="Cambria Math" w:hAnsi="Cambria Math"/>
                  <w:sz w:val="24"/>
                </w:rPr>
                <m:t>δ</m:t>
              </m:r>
            </m:e>
            <m:sup>
              <m:r>
                <w:rPr>
                  <w:rFonts w:ascii="Cambria Math" w:hAnsi="Cambria Math"/>
                  <w:sz w:val="24"/>
                </w:rPr>
                <m:t>L</m:t>
              </m:r>
            </m:sup>
          </m:sSup>
          <m:d>
            <m:dPr>
              <m:begChr m:val="["/>
              <m:sepChr m:val=""/>
              <m:endChr m:val="]"/>
            </m:dPr>
            <m:e>
              <m:sSub>
                <m:e>
                  <m:r>
                    <w:rPr>
                      <w:rFonts w:ascii="Cambria Math" w:hAnsi="Cambria Math"/>
                      <w:sz w:val="24"/>
                    </w:rPr>
                    <m:t>R</m:t>
                  </m:r>
                </m:e>
                <m:sub>
                  <m:r>
                    <w:rPr>
                      <w:rFonts w:ascii="Cambria Math" w:hAnsi="Cambria Math"/>
                      <w:sz w:val="24"/>
                    </w:rPr>
                    <m:t>μ</m:t>
                  </m:r>
                </m:sub>
              </m:sSub>
              <m:d>
                <m:dPr>
                  <m:sepChr m:val=""/>
                </m:dPr>
                <m:e>
                  <m:sSub>
                    <m:e>
                      <m:r>
                        <w:rPr>
                          <w:rFonts w:ascii="Cambria Math" w:hAnsi="Cambria Math"/>
                          <w:sz w:val="24"/>
                        </w:rPr>
                        <m:t>E</m:t>
                      </m:r>
                    </m:e>
                    <m:sub>
                      <m:r>
                        <w:rPr>
                          <w:rFonts w:ascii="Cambria Math" w:hAnsi="Cambria Math"/>
                          <w:sz w:val="24"/>
                        </w:rPr>
                        <m:t>0</m:t>
                      </m:r>
                    </m:sub>
                  </m:sSub>
                </m:e>
              </m:d>
              <m:r>
                <w:rPr>
                  <w:rFonts w:ascii="Cambria Math" w:hAnsi="Cambria Math"/>
                  <w:sz w:val="24"/>
                </w:rPr>
                <m:t>−</m:t>
              </m:r>
              <m:sSub>
                <m:e>
                  <m:r>
                    <w:rPr>
                      <w:rFonts w:ascii="Cambria Math" w:hAnsi="Cambria Math"/>
                      <w:sz w:val="24"/>
                    </w:rPr>
                    <m:t>R</m:t>
                  </m:r>
                </m:e>
                <m:sub>
                  <m:r>
                    <w:rPr>
                      <w:rFonts w:ascii="Cambria Math" w:hAnsi="Cambria Math"/>
                      <w:sz w:val="24"/>
                    </w:rPr>
                    <m:t>μ</m:t>
                  </m:r>
                </m:sub>
              </m:sSub>
              <m:d>
                <m:dPr>
                  <m:sepChr m:val=""/>
                </m:dPr>
                <m:e>
                  <m:sSub>
                    <m:e>
                      <m:r>
                        <w:rPr>
                          <w:rFonts w:ascii="Cambria Math" w:hAnsi="Cambria Math"/>
                          <w:sz w:val="24"/>
                        </w:rPr>
                        <m:t>E</m:t>
                      </m:r>
                    </m:e>
                    <m:sub>
                      <m:r>
                        <w:rPr>
                          <w:rFonts w:ascii="Cambria Math" w:hAnsi="Cambria Math"/>
                          <w:sz w:val="24"/>
                        </w:rPr>
                        <m:t>1</m:t>
                      </m:r>
                    </m:sub>
                  </m:sSub>
                </m:e>
              </m:d>
            </m:e>
          </m:d>
          <m:r>
            <w:rPr>
              <w:rFonts w:ascii="Cambria Math" w:hAnsi="Cambria Math"/>
              <w:sz w:val="24"/>
            </w:rPr>
            <m:t>.</m:t>
          </m:r>
        </m:oMath>
      </m:oMathPara>
    </w:p>
    <w:p>
      <w:r>
        <w:t xml:space="preserve">Proof. After observing </w:t>
      </w:r>
      <m:oMath>
        <m:sSub>
          <m:e>
            <m:r>
              <w:rPr>
                <w:rFonts w:ascii="Cambria Math" w:hAnsi="Cambria Math"/>
                <w:sz w:val="24"/>
              </w:rPr>
              <m:t>E</m:t>
            </m:r>
          </m:e>
          <m:sub>
            <m:r>
              <w:rPr>
                <w:rFonts w:ascii="Cambria Math" w:hAnsi="Cambria Math"/>
                <w:sz w:val="24"/>
              </w:rPr>
              <m:t>1</m:t>
            </m:r>
          </m:sub>
        </m:sSub>
      </m:oMath>
      <w:r>
        <w:t xml:space="preserve">, simulate the garbling and apply an optimal rule for </w:t>
      </w:r>
      <m:oMath>
        <m:sSub>
          <m:e>
            <m:r>
              <w:rPr>
                <w:rFonts w:ascii="Cambria Math" w:hAnsi="Cambria Math"/>
                <w:sz w:val="24"/>
              </w:rPr>
              <m:t>E</m:t>
            </m:r>
          </m:e>
          <m:sub>
            <m:r>
              <w:rPr>
                <w:rFonts w:ascii="Cambria Math" w:hAnsi="Cambria Math"/>
                <w:sz w:val="24"/>
              </w:rPr>
              <m:t>0</m:t>
            </m:r>
          </m:sub>
        </m:sSub>
      </m:oMath>
      <w:r>
        <w:t xml:space="preserve">. State independence makes the simulated joint distribution of state and coarse signal identical to that under </w:t>
      </w:r>
      <m:oMath>
        <m:sSub>
          <m:e>
            <m:r>
              <w:rPr>
                <w:rFonts w:ascii="Cambria Math" w:hAnsi="Cambria Math"/>
                <w:sz w:val="24"/>
              </w:rPr>
              <m:t>E</m:t>
            </m:r>
          </m:e>
          <m:sub>
            <m:r>
              <w:rPr>
                <w:rFonts w:ascii="Cambria Math" w:hAnsi="Cambria Math"/>
                <w:sz w:val="24"/>
              </w:rPr>
              <m:t>0</m:t>
            </m:r>
          </m:sub>
        </m:sSub>
      </m:oMath>
      <w:r>
        <w:t xml:space="preserve">, so this rule achieves its risk. The optimum under </w:t>
      </w:r>
      <m:oMath>
        <m:sSub>
          <m:e>
            <m:r>
              <w:rPr>
                <w:rFonts w:ascii="Cambria Math" w:hAnsi="Cambria Math"/>
                <w:sz w:val="24"/>
              </w:rPr>
              <m:t>E</m:t>
            </m:r>
          </m:e>
          <m:sub>
            <m:r>
              <w:rPr>
                <w:rFonts w:ascii="Cambria Math" w:hAnsi="Cambria Math"/>
                <w:sz w:val="24"/>
              </w:rPr>
              <m:t>1</m:t>
            </m:r>
          </m:sub>
        </m:sSub>
      </m:oMath>
      <w:r>
        <w:t xml:space="preserve"> cannot have higher risk. Subtracting the two welfare expressions gives the displayed equivalence. This is an elementary application of Blackwell's result. If policy changes states, feasible actions, or the payoff relation, the information ordering alone does not compare welfare.</w:t>
      </w:r>
    </w:p>
    <w:p>
      <w:r>
        <w:t xml:space="preserve">For illustration, a uniform binary state and unit loss for a wrong choice give risk 0.5 without a signal. A signal that is correct with probability 0.9 gives risk 0.1. With </w:t>
      </w:r>
      <m:oMath>
        <m:sSup>
          <m:e>
            <m:r>
              <w:rPr>
                <w:rFonts w:ascii="Cambria Math" w:hAnsi="Cambria Math"/>
                <w:sz w:val="24"/>
              </w:rPr>
              <m:t>δ</m:t>
            </m:r>
          </m:e>
          <m:sup>
            <m:r>
              <w:rPr>
                <w:rFonts w:ascii="Cambria Math" w:hAnsi="Cambria Math"/>
                <w:sz w:val="24"/>
              </w:rPr>
              <m:t>L</m:t>
            </m:r>
          </m:sup>
        </m:sSup>
      </m:oMath>
      <w:r>
        <w:t xml:space="preserve"> = 0.9, unchanged operating surplus, and an audit costing 0.2, welfare increases by 0.16. An additional disruption cost of 0.3 reverses that conclusion. These are hypothetical decision units, not empirical estimates.</w:t>
      </w:r>
    </w:p>
    <w:p>
      <w:r>
        <w:t xml:space="preserve">Counterexample. Suppose a provider serves 95 percent of users within the stipulated service boundary but independently allocates registered trials between two eligible suppliers. Set </w:t>
      </w:r>
      <m:oMath>
        <m:sSub>
          <m:e>
            <m:r>
              <w:rPr>
                <w:rFonts w:ascii="Cambria Math" w:hAnsi="Cambria Math"/>
                <w:sz w:val="24"/>
              </w:rPr>
              <m:t>x</m:t>
            </m:r>
          </m:e>
          <m:sub>
            <m:r>
              <w:rPr>
                <w:rFonts w:ascii="Cambria Math" w:hAnsi="Cambria Math"/>
                <w:sz w:val="24"/>
              </w:rPr>
              <m:t>1</m:t>
            </m:r>
          </m:sub>
        </m:sSub>
      </m:oMath>
      <w:r>
        <w:t xml:space="preserve"> − </w:t>
      </w:r>
      <m:oMath>
        <m:sSub>
          <m:e>
            <m:r>
              <w:rPr>
                <w:rFonts w:ascii="Cambria Math" w:hAnsi="Cambria Math"/>
                <w:sz w:val="24"/>
              </w:rPr>
              <m:t>x</m:t>
            </m:r>
          </m:e>
          <m:sub>
            <m:r>
              <w:rPr>
                <w:rFonts w:ascii="Cambria Math" w:hAnsi="Cambria Math"/>
                <w:sz w:val="24"/>
              </w:rPr>
              <m:t>2</m:t>
            </m:r>
          </m:sub>
        </m:sSub>
      </m:oMath>
      <w:r>
        <w:t xml:space="preserve"> = 1, </w:t>
      </w:r>
      <m:oMath>
        <m:sSub>
          <m:e>
            <m:r>
              <w:rPr>
                <w:rFonts w:ascii="Cambria Math" w:hAnsi="Cambria Math"/>
                <w:sz w:val="24"/>
              </w:rPr>
              <m:t>s</m:t>
            </m:r>
          </m:e>
          <m:sub>
            <m:r>
              <w:rPr>
                <w:rFonts w:ascii="Cambria Math" w:hAnsi="Cambria Math"/>
                <w:sz w:val="24"/>
              </w:rPr>
              <m:t>1</m:t>
            </m:r>
          </m:sub>
        </m:sSub>
      </m:oMath>
      <w:r>
        <w:t xml:space="preserve"> = </w:t>
      </w:r>
      <m:oMath>
        <m:sSub>
          <m:e>
            <m:r>
              <w:rPr>
                <w:rFonts w:ascii="Cambria Math" w:hAnsi="Cambria Math"/>
                <w:sz w:val="24"/>
              </w:rPr>
              <m:t>s</m:t>
            </m:r>
          </m:e>
          <m:sub>
            <m:r>
              <w:rPr>
                <w:rFonts w:ascii="Cambria Math" w:hAnsi="Cambria Math"/>
                <w:sz w:val="24"/>
              </w:rPr>
              <m:t>2</m:t>
            </m:r>
          </m:sub>
        </m:sSub>
      </m:oMath>
      <w:r>
        <w:t xml:space="preserve"> = 0, and β ∈ {−b, b}, with b &gt; 0. Then:</w:t>
      </w:r>
    </w:p>
    <w:p>
      <w:pPr>
        <w:keepLines/>
        <w:spacing w:line="240" w:lineRule="auto"/>
        <w:jc w:val="center"/>
      </w:pPr>
      <m:oMathPara>
        <m:oMath>
          <m:sSub>
            <m:e>
              <m:r>
                <m:rPr>
                  <m:sty m:val="p"/>
                </m:rPr>
                <w:rPr>
                  <w:rFonts w:ascii="Cambria Math" w:hAnsi="Cambria Math"/>
                  <w:sz w:val="24"/>
                </w:rPr>
                <m:t>Pr</m:t>
              </m:r>
            </m:e>
            <m:sub>
              <m:r>
                <w:rPr>
                  <w:rFonts w:ascii="Cambria Math" w:hAnsi="Cambria Math"/>
                  <w:sz w:val="24"/>
                </w:rPr>
                <m:t>β</m:t>
              </m:r>
            </m:sub>
          </m:sSub>
          <m:d>
            <m:dPr>
              <m:sepChr m:val=""/>
            </m:dPr>
            <m:e>
              <m:sSub>
                <m:e>
                  <m:r>
                    <w:rPr>
                      <w:rFonts w:ascii="Cambria Math" w:hAnsi="Cambria Math"/>
                      <w:sz w:val="24"/>
                    </w:rPr>
                    <m:t>J</m:t>
                  </m:r>
                </m:e>
                <m:sub>
                  <m:r>
                    <w:rPr>
                      <w:rFonts w:ascii="Cambria Math" w:hAnsi="Cambria Math"/>
                      <w:sz w:val="24"/>
                    </w:rPr>
                    <m:t>t+1</m:t>
                  </m:r>
                </m:sub>
              </m:sSub>
              <m:r>
                <w:rPr>
                  <w:rFonts w:ascii="Cambria Math" w:hAnsi="Cambria Math"/>
                  <w:sz w:val="24"/>
                </w:rPr>
                <m:t>=1</m:t>
              </m:r>
            </m:e>
          </m:d>
          <m:r>
            <w:rPr>
              <w:rFonts w:ascii="Cambria Math" w:hAnsi="Cambria Math"/>
              <w:sz w:val="24"/>
            </w:rPr>
            <m:t>=</m:t>
          </m:r>
          <m:f>
            <m:fPr>
              <m:type m:val="bar"/>
            </m:fPr>
            <m:num>
              <m:r>
                <w:rPr>
                  <w:rFonts w:ascii="Cambria Math" w:hAnsi="Cambria Math"/>
                  <w:sz w:val="24"/>
                </w:rPr>
                <m:t>1</m:t>
              </m:r>
            </m:num>
            <m:den>
              <m:r>
                <w:rPr>
                  <w:rFonts w:ascii="Cambria Math" w:hAnsi="Cambria Math"/>
                  <w:sz w:val="24"/>
                </w:rPr>
                <m:t>1+</m:t>
              </m:r>
              <m:r>
                <m:rPr>
                  <m:sty m:val="p"/>
                </m:rPr>
                <w:rPr>
                  <w:rFonts w:ascii="Cambria Math" w:hAnsi="Cambria Math"/>
                  <w:sz w:val="24"/>
                </w:rPr>
                <m:t>exp</m:t>
              </m:r>
              <m:d>
                <m:dPr>
                  <m:sepChr m:val=""/>
                </m:dPr>
                <m:e>
                  <m:r>
                    <w:rPr>
                      <w:rFonts w:ascii="Cambria Math" w:hAnsi="Cambria Math"/>
                      <w:sz w:val="24"/>
                    </w:rPr>
                    <m:t>−β</m:t>
                  </m:r>
                </m:e>
              </m:d>
            </m:den>
          </m:f>
          <m:r>
            <w:rPr>
              <w:rFonts w:ascii="Cambria Math" w:hAnsi="Cambria Math"/>
              <w:sz w:val="24"/>
            </w:rPr>
            <m:t>,</m:t>
          </m:r>
          <m:r>
            <m:rPr>
              <m:nor/>
            </m:rPr>
            <w:rPr>
              <w:rFonts w:ascii="Cambria Math" w:hAnsi="Cambria Math"/>
              <w:sz w:val="24"/>
            </w:rPr>
            <m:t> </m:t>
          </m:r>
          <m:sSub>
            <m:e>
              <m:r>
                <w:rPr>
                  <w:rFonts w:ascii="Cambria Math" w:hAnsi="Cambria Math"/>
                  <w:sz w:val="24"/>
                </w:rPr>
                <m:t>B</m:t>
              </m:r>
            </m:e>
            <m:sub>
              <m:r>
                <w:rPr>
                  <w:rFonts w:ascii="Cambria Math" w:hAnsi="Cambria Math"/>
                  <w:sz w:val="24"/>
                </w:rPr>
                <m:t>T</m:t>
              </m:r>
            </m:sub>
          </m:sSub>
          <m:r>
            <w:rPr>
              <w:rFonts w:ascii="Cambria Math" w:hAnsi="Cambria Math"/>
              <w:sz w:val="24"/>
            </w:rPr>
            <m:t>=</m:t>
          </m:r>
          <m:f>
            <m:fPr>
              <m:type m:val="bar"/>
            </m:fPr>
            <m:num>
              <m:r>
                <w:rPr>
                  <w:rFonts w:ascii="Cambria Math" w:hAnsi="Cambria Math"/>
                  <w:sz w:val="24"/>
                </w:rPr>
                <m:t>T</m:t>
              </m:r>
            </m:num>
            <m:den>
              <m:r>
                <w:rPr>
                  <w:rFonts w:ascii="Cambria Math" w:hAnsi="Cambria Math"/>
                  <w:sz w:val="24"/>
                </w:rPr>
                <m:t>1+</m:t>
              </m:r>
              <m:r>
                <m:rPr>
                  <m:sty m:val="p"/>
                </m:rPr>
                <w:rPr>
                  <w:rFonts w:ascii="Cambria Math" w:hAnsi="Cambria Math"/>
                  <w:sz w:val="24"/>
                </w:rPr>
                <m:t>exp</m:t>
              </m:r>
              <m:d>
                <m:dPr>
                  <m:sepChr m:val=""/>
                </m:dPr>
                <m:e>
                  <m:r>
                    <w:rPr>
                      <w:rFonts w:ascii="Cambria Math" w:hAnsi="Cambria Math"/>
                      <w:sz w:val="24"/>
                    </w:rPr>
                    <m:t>b</m:t>
                  </m:r>
                </m:e>
              </m:d>
            </m:den>
          </m:f>
          <m:r>
            <w:rPr>
              <w:rFonts w:ascii="Cambria Math" w:hAnsi="Cambria Math"/>
              <w:sz w:val="24"/>
            </w:rPr>
            <m:t>.</m:t>
          </m:r>
        </m:oMath>
      </m:oMathPara>
    </w:p>
    <w:p>
      <w:r>
        <w:t xml:space="preserve">The two Bernoulli probabilities differ. Independent sample frequencies consistently identify the sign of β, and the Bayes error for that decision converges to zero. The provider's large share does not eliminate informative comparison within its service. This counterexample rejects an inference from size to epistemic harm; it neither determines legal dominance nor establishes that this arrangement maximizes welfare. Conversely, several nominal providers can share one ranking system and common shocks, producing little independent evidence despite their separate names.</w:t>
      </w:r>
    </w:p>
    <w:p>
      <w:pPr>
        <w:pStyle w:val="Heading1"/>
      </w:pPr>
      <w:r>
        <w:t xml:space="preserve">5. Comparing access instruments</w:t>
      </w:r>
    </w:p>
    <w:p>
      <w:r>
        <w:t xml:space="preserve">Data access and auditing can reveal how eligibility, inputs, routing, and outcomes relate. Scoped access to existing records may be a relatively inexpensive way to test a proposed observation model. It cannot manufacture an allocation path that was never realized. Selection, missing inputs, changing versions, and access restrictions remain identification problems. Secure environments and disclosure limits protect legitimate confidentiality but also constrain which estimands are recoverable.</w:t>
      </w:r>
    </w:p>
    <w:p>
      <w:r>
        <w:t xml:space="preserve">Portability can reduce switching costs and let an entrant carry verified histories rather than begin without credentials. Its informational effect depends on usable semantics, provenance, and actual access to new comparisons. Copying the same record into several systems does not create independent evidence. Voluntary switching can select unusually dissatisfied or capable users, so before-and-after comparisons need an identification strategy. Transfer and compliance costs belong in </w:t>
      </w:r>
      <m:oMath>
        <m:sSub>
          <m:e>
            <m:r>
              <w:rPr>
                <w:rFonts w:ascii="Cambria Math" w:hAnsi="Cambria Math"/>
                <w:sz w:val="24"/>
              </w:rPr>
              <m:t>C</m:t>
            </m:r>
          </m:e>
          <m:sub>
            <m:r>
              <w:rPr>
                <w:rFonts w:ascii="Cambria Math" w:hAnsi="Cambria Math"/>
                <w:sz w:val="24"/>
              </w:rPr>
              <m:t>r</m:t>
            </m:r>
          </m:sub>
        </m:sSub>
      </m:oMath>
      <w:r>
        <w:t xml:space="preserve">.</w:t>
      </w:r>
    </w:p>
    <w:p>
      <w:r>
        <w:t xml:space="preserve">Interoperability can make alternatives reachable and preserve feasible routing choices across services. It can also synchronize control, expose systems to security failures, or reduce investment incentives. Assess the particular interface and users affected rather than an abstract interoperability label. A remedy is useful if it changes feasible experiments or operating outcomes at an acceptable cost, not merely because it creates more connections.</w:t>
      </w:r>
    </w:p>
    <w:p>
      <w:r>
        <w:t xml:space="preserve">Randomized pilots can assign comparable candidates to known exposure conditions and register downstream outcomes. Their objective should be the future policy decision: Kasy and Sautmann (2021) study adaptive experimental assignment for policy choice. A pilot must account for interference, possibly through cluster assignment, and respect safety and eligibility constraints. Opportunity costs, adjustment burdens, and spillovers are part of its evaluation. Randomization improves the interpretation of a specified contrast; it does not validate every extrapolation beyond the pilot.</w:t>
      </w:r>
    </w:p>
    <w:p>
      <w:r>
        <w:t xml:space="preserve">Independent replications can expose a common informative model to new allocation shocks. Their value requires an informative experiment, a common parameter or justified transportability, and independence conditional on the maintained model. Different institutions are not automatically independent experiments. Shared data, ranking, ownership incentives, or macroeconomic shocks may defeat that interpretation. Duplicating services can also sacrifice real scale economies.</w:t>
      </w:r>
    </w:p>
    <w:p>
      <w:r>
        <w:t xml:space="preserve">For each instrument, report the decision improved, observations generated, identifying restrictions, estimated surplus effects, costs, and feasible substitutes. Ordinary disclosure may suffice where records identify the relevant contrast. Where feedback has removed exposure, a prospective pilot or access change may be necessary. None is universally preferable, and preserving every alternative indefinitely is not the objective.</w:t>
      </w:r>
    </w:p>
    <w:p>
      <w:pPr>
        <w:pStyle w:val="Heading1"/>
      </w:pPr>
      <w:r>
        <w:t xml:space="preserve">6. Least-cost remedies under model uncertainty</w:t>
      </w:r>
    </w:p>
    <w:p>
      <w:r>
        <w:t xml:space="preserve">A regulator rarely knows the correct entry response, information kernel, loss weights, or investment effect. Let M be a documented set of plausible models. Evaluate one implementable decision rule d across that set; using a different model-specific optimal rule inside each evaluation would quietly assume knowledge of the true model.</w:t>
      </w:r>
    </w:p>
    <w:p>
      <w:pPr>
        <w:keepNext/>
        <w:keepLines/>
        <w:spacing w:line="240" w:lineRule="auto"/>
        <w:jc w:val="center"/>
      </w:pPr>
      <m:oMathPara>
        <m:oMath>
          <m:sSub>
            <m:e>
              <m:r>
                <w:rPr>
                  <w:rFonts w:ascii="Cambria Math" w:hAnsi="Cambria Math"/>
                  <w:sz w:val="24"/>
                </w:rPr>
                <m:t>J</m:t>
              </m:r>
            </m:e>
            <m:sub>
              <m:r>
                <w:rPr>
                  <w:rFonts w:ascii="Cambria Math" w:hAnsi="Cambria Math"/>
                  <w:sz w:val="24"/>
                </w:rPr>
                <m:t>m</m:t>
              </m:r>
            </m:sub>
          </m:sSub>
          <m:d>
            <m:dPr>
              <m:sepChr m:val=""/>
            </m:dPr>
            <m:e>
              <m:r>
                <w:rPr>
                  <w:rFonts w:ascii="Cambria Math" w:hAnsi="Cambria Math"/>
                  <w:sz w:val="24"/>
                </w:rPr>
                <m:t>r,d</m:t>
              </m:r>
            </m:e>
          </m:d>
          <m:r>
            <w:rPr>
              <w:rFonts w:ascii="Cambria Math" w:hAnsi="Cambria Math"/>
              <w:sz w:val="24"/>
            </w:rPr>
            <m:t>=</m:t>
          </m:r>
          <m:sSub>
            <m:e>
              <m:r>
                <w:rPr>
                  <w:rFonts w:ascii="Cambria Math" w:hAnsi="Cambria Math"/>
                  <w:sz w:val="24"/>
                </w:rPr>
                <m:t>S</m:t>
              </m:r>
            </m:e>
            <m:sub>
              <m:r>
                <w:rPr>
                  <w:rFonts w:ascii="Cambria Math" w:hAnsi="Cambria Math"/>
                  <w:sz w:val="24"/>
                </w:rPr>
                <m:t>r,m</m:t>
              </m:r>
            </m:sub>
          </m:sSub>
          <m:r>
            <w:rPr>
              <w:rFonts w:ascii="Cambria Math" w:hAnsi="Cambria Math"/>
              <w:sz w:val="24"/>
            </w:rPr>
            <m:t>−</m:t>
          </m:r>
          <m:sSub>
            <m:e>
              <m:r>
                <w:rPr>
                  <w:rFonts w:ascii="Cambria Math" w:hAnsi="Cambria Math"/>
                  <w:sz w:val="24"/>
                </w:rPr>
                <m:t>C</m:t>
              </m:r>
            </m:e>
            <m:sub>
              <m:r>
                <w:rPr>
                  <w:rFonts w:ascii="Cambria Math" w:hAnsi="Cambria Math"/>
                  <w:sz w:val="24"/>
                </w:rPr>
                <m:t>r,m</m:t>
              </m:r>
            </m:sub>
          </m:sSub>
          <m:r>
            <w:rPr>
              <w:rFonts w:ascii="Cambria Math" w:hAnsi="Cambria Math"/>
              <w:sz w:val="24"/>
            </w:rPr>
            <m:t>−</m:t>
          </m:r>
          <m:sSup>
            <m:e>
              <m:r>
                <w:rPr>
                  <w:rFonts w:ascii="Cambria Math" w:hAnsi="Cambria Math"/>
                  <w:sz w:val="24"/>
                </w:rPr>
                <m:t>δ</m:t>
              </m:r>
            </m:e>
            <m:sup>
              <m:r>
                <w:rPr>
                  <w:rFonts w:ascii="Cambria Math" w:hAnsi="Cambria Math"/>
                  <w:sz w:val="24"/>
                </w:rPr>
                <m:t>L</m:t>
              </m:r>
            </m:sup>
          </m:sSup>
          <m:sSub>
            <m:e>
              <m:r>
                <m:rPr>
                  <m:sty m:val="p"/>
                </m:rPr>
                <w:rPr>
                  <w:rFonts w:ascii="Cambria Math" w:hAnsi="Cambria Math"/>
                  <w:sz w:val="24"/>
                </w:rPr>
                <m:t>𝔼</m:t>
              </m:r>
            </m:e>
            <m:sub>
              <m:r>
                <w:rPr>
                  <w:rFonts w:ascii="Cambria Math" w:hAnsi="Cambria Math"/>
                  <w:sz w:val="24"/>
                </w:rPr>
                <m:t>m</m:t>
              </m:r>
            </m:sub>
          </m:sSub>
          <m:d>
            <m:dPr>
              <m:begChr m:val="["/>
              <m:sepChr m:val=""/>
              <m:endChr m:val="]"/>
            </m:dPr>
            <m:e>
              <m:r>
                <w:rPr>
                  <w:rFonts w:ascii="Cambria Math" w:hAnsi="Cambria Math"/>
                  <w:sz w:val="24"/>
                </w:rPr>
                <m:t>ℓ</m:t>
              </m:r>
              <m:d>
                <m:dPr>
                  <m:sepChr m:val=""/>
                </m:dPr>
                <m:e>
                  <m:r>
                    <w:rPr>
                      <w:rFonts w:ascii="Cambria Math" w:hAnsi="Cambria Math"/>
                      <w:sz w:val="24"/>
                    </w:rPr>
                    <m:t>d</m:t>
                  </m:r>
                  <m:d>
                    <m:dPr>
                      <m:sepChr m:val=""/>
                    </m:dPr>
                    <m:e>
                      <m:sSub>
                        <m:e>
                          <m:r>
                            <w:rPr>
                              <w:rFonts w:ascii="Cambria Math" w:hAnsi="Cambria Math"/>
                              <w:sz w:val="24"/>
                            </w:rPr>
                            <m:t>Y</m:t>
                          </m:r>
                        </m:e>
                        <m:sub>
                          <m:r>
                            <w:rPr>
                              <w:rFonts w:ascii="Cambria Math" w:hAnsi="Cambria Math"/>
                              <w:sz w:val="24"/>
                            </w:rPr>
                            <m:t>r</m:t>
                          </m:r>
                        </m:sub>
                      </m:sSub>
                    </m:e>
                  </m:d>
                  <m:r>
                    <w:rPr>
                      <w:rFonts w:ascii="Cambria Math" w:hAnsi="Cambria Math"/>
                      <w:sz w:val="24"/>
                    </w:rPr>
                    <m:t>,θ</m:t>
                  </m:r>
                </m:e>
              </m:d>
            </m:e>
          </m:d>
          <m:r>
            <w:rPr>
              <w:rFonts w:ascii="Cambria Math" w:hAnsi="Cambria Math"/>
              <w:sz w:val="24"/>
            </w:rPr>
            <m:t>,</m:t>
          </m:r>
        </m:oMath>
      </m:oMathPara>
    </w:p>
    <w:p>
      <w:pPr>
        <w:keepLines/>
        <w:spacing w:line="240" w:lineRule="auto"/>
        <w:jc w:val="center"/>
      </w:pPr>
      <m:oMathPara>
        <m:oMath>
          <m:d>
            <m:dPr>
              <m:sepChr m:val=""/>
            </m:dPr>
            <m:e>
              <m:sSup>
                <m:e>
                  <m:r>
                    <w:rPr>
                      <w:rFonts w:ascii="Cambria Math" w:hAnsi="Cambria Math"/>
                      <w:sz w:val="24"/>
                    </w:rPr>
                    <m:t>r</m:t>
                  </m:r>
                </m:e>
                <m:sup>
                  <m:r>
                    <w:rPr>
                      <w:rFonts w:ascii="Cambria Math" w:hAnsi="Cambria Math"/>
                      <w:sz w:val="24"/>
                    </w:rPr>
                    <m:t>*</m:t>
                  </m:r>
                </m:sup>
              </m:sSup>
              <m:r>
                <w:rPr>
                  <w:rFonts w:ascii="Cambria Math" w:hAnsi="Cambria Math"/>
                  <w:sz w:val="24"/>
                </w:rPr>
                <m:t>,</m:t>
              </m:r>
              <m:sSup>
                <m:e>
                  <m:r>
                    <w:rPr>
                      <w:rFonts w:ascii="Cambria Math" w:hAnsi="Cambria Math"/>
                      <w:sz w:val="24"/>
                    </w:rPr>
                    <m:t>d</m:t>
                  </m:r>
                </m:e>
                <m:sup>
                  <m:r>
                    <w:rPr>
                      <w:rFonts w:ascii="Cambria Math" w:hAnsi="Cambria Math"/>
                      <w:sz w:val="24"/>
                    </w:rPr>
                    <m:t>*</m:t>
                  </m:r>
                </m:sup>
              </m:sSup>
            </m:e>
          </m:d>
          <m:r>
            <w:rPr>
              <w:rFonts w:ascii="Cambria Math" w:hAnsi="Cambria Math"/>
              <w:sz w:val="24"/>
            </w:rPr>
            <m:t>∈</m:t>
          </m:r>
          <m:sSub>
            <m:e>
              <m:r>
                <m:rPr>
                  <m:sty m:val="p"/>
                </m:rPr>
                <w:rPr>
                  <w:rFonts w:ascii="Cambria Math" w:hAnsi="Cambria Math"/>
                  <w:sz w:val="24"/>
                </w:rPr>
                <m:t>argmax</m:t>
              </m:r>
            </m:e>
            <m:sub>
              <m:r>
                <w:rPr>
                  <w:rFonts w:ascii="Cambria Math" w:hAnsi="Cambria Math"/>
                  <w:sz w:val="24"/>
                </w:rPr>
                <m:t>r∈</m:t>
              </m:r>
              <m:sSub>
                <m:e>
                  <m:r>
                    <w:rPr>
                      <w:rFonts w:ascii="Cambria Math" w:hAnsi="Cambria Math"/>
                      <w:sz w:val="24"/>
                    </w:rPr>
                    <m:t>R</m:t>
                  </m:r>
                </m:e>
                <m:sub>
                  <m:r>
                    <m:rPr>
                      <m:sty m:val="p"/>
                    </m:rPr>
                    <w:rPr>
                      <w:rFonts w:ascii="Cambria Math" w:hAnsi="Cambria Math"/>
                      <w:sz w:val="24"/>
                    </w:rPr>
                    <m:t>legal</m:t>
                  </m:r>
                </m:sub>
              </m:sSub>
              <m:r>
                <w:rPr>
                  <w:rFonts w:ascii="Cambria Math" w:hAnsi="Cambria Math"/>
                  <w:sz w:val="24"/>
                </w:rPr>
                <m:t>,d∈</m:t>
              </m:r>
              <m:sSub>
                <m:e>
                  <m:r>
                    <w:rPr>
                      <w:rFonts w:ascii="Cambria Math" w:hAnsi="Cambria Math"/>
                      <w:sz w:val="24"/>
                    </w:rPr>
                    <m:t>D</m:t>
                  </m:r>
                </m:e>
                <m:sub>
                  <m:r>
                    <w:rPr>
                      <w:rFonts w:ascii="Cambria Math" w:hAnsi="Cambria Math"/>
                      <w:sz w:val="24"/>
                    </w:rPr>
                    <m:t>r</m:t>
                  </m:r>
                </m:sub>
              </m:sSub>
            </m:sub>
          </m:sSub>
          <m:sSub>
            <m:e>
              <m:r>
                <m:rPr>
                  <m:sty m:val="p"/>
                </m:rPr>
                <w:rPr>
                  <w:rFonts w:ascii="Cambria Math" w:hAnsi="Cambria Math"/>
                  <w:sz w:val="24"/>
                </w:rPr>
                <m:t>min</m:t>
              </m:r>
            </m:e>
            <m:sub>
              <m:r>
                <w:rPr>
                  <w:rFonts w:ascii="Cambria Math" w:hAnsi="Cambria Math"/>
                  <w:sz w:val="24"/>
                </w:rPr>
                <m:t>m∈M</m:t>
              </m:r>
            </m:sub>
          </m:sSub>
          <m:d>
            <m:dPr>
              <m:begChr m:val="["/>
              <m:sepChr m:val=""/>
              <m:endChr m:val="]"/>
            </m:dPr>
            <m:e>
              <m:sSub>
                <m:e>
                  <m:r>
                    <w:rPr>
                      <w:rFonts w:ascii="Cambria Math" w:hAnsi="Cambria Math"/>
                      <w:sz w:val="24"/>
                    </w:rPr>
                    <m:t>J</m:t>
                  </m:r>
                </m:e>
                <m:sub>
                  <m:r>
                    <w:rPr>
                      <w:rFonts w:ascii="Cambria Math" w:hAnsi="Cambria Math"/>
                      <w:sz w:val="24"/>
                    </w:rPr>
                    <m:t>m</m:t>
                  </m:r>
                </m:sub>
              </m:sSub>
              <m:d>
                <m:dPr>
                  <m:sepChr m:val=""/>
                </m:dPr>
                <m:e>
                  <m:r>
                    <w:rPr>
                      <w:rFonts w:ascii="Cambria Math" w:hAnsi="Cambria Math"/>
                      <w:sz w:val="24"/>
                    </w:rPr>
                    <m:t>r,d</m:t>
                  </m:r>
                </m:e>
              </m:d>
              <m:r>
                <w:rPr>
                  <w:rFonts w:ascii="Cambria Math" w:hAnsi="Cambria Math"/>
                  <w:sz w:val="24"/>
                </w:rPr>
                <m:t>−</m:t>
              </m:r>
              <m:sSub>
                <m:e>
                  <m:r>
                    <w:rPr>
                      <w:rFonts w:ascii="Cambria Math" w:hAnsi="Cambria Math"/>
                      <w:sz w:val="24"/>
                    </w:rPr>
                    <m:t>J</m:t>
                  </m:r>
                </m:e>
                <m:sub>
                  <m:r>
                    <w:rPr>
                      <w:rFonts w:ascii="Cambria Math" w:hAnsi="Cambria Math"/>
                      <w:sz w:val="24"/>
                    </w:rPr>
                    <m:t>m</m:t>
                  </m:r>
                </m:sub>
              </m:sSub>
              <m:d>
                <m:dPr>
                  <m:sepChr m:val=""/>
                </m:dPr>
                <m:e>
                  <m:r>
                    <w:rPr>
                      <w:rFonts w:ascii="Cambria Math" w:hAnsi="Cambria Math"/>
                      <w:sz w:val="24"/>
                    </w:rPr>
                    <m:t>0,</m:t>
                  </m:r>
                  <m:sSub>
                    <m:e>
                      <m:r>
                        <w:rPr>
                          <w:rFonts w:ascii="Cambria Math" w:hAnsi="Cambria Math"/>
                          <w:sz w:val="24"/>
                        </w:rPr>
                        <m:t>d</m:t>
                      </m:r>
                    </m:e>
                    <m:sub>
                      <m:r>
                        <w:rPr>
                          <w:rFonts w:ascii="Cambria Math" w:hAnsi="Cambria Math"/>
                          <w:sz w:val="24"/>
                        </w:rPr>
                        <m:t>0</m:t>
                      </m:r>
                    </m:sub>
                  </m:sSub>
                </m:e>
              </m:d>
            </m:e>
          </m:d>
          <m:r>
            <w:rPr>
              <w:rFonts w:ascii="Cambria Math" w:hAnsi="Cambria Math"/>
              <w:sz w:val="24"/>
            </w:rPr>
            <m:t>.</m:t>
          </m:r>
        </m:oMath>
      </m:oMathPara>
    </w:p>
    <w:p>
      <w:r>
        <w:t xml:space="preserve">Here </w:t>
      </w:r>
      <m:oMath>
        <m:sSub>
          <m:e>
            <m:r>
              <w:rPr>
                <w:rFonts w:ascii="Cambria Math" w:hAnsi="Cambria Math"/>
                <w:sz w:val="24"/>
              </w:rPr>
              <m:t>d</m:t>
            </m:r>
          </m:e>
          <m:sub>
            <m:r>
              <w:rPr>
                <w:rFonts w:ascii="Cambria Math" w:hAnsi="Cambria Math"/>
                <w:sz w:val="24"/>
              </w:rPr>
              <m:t>0</m:t>
            </m:r>
          </m:sub>
        </m:sSub>
      </m:oMath>
      <w:r>
        <w:t xml:space="preserve"> is the existing common rule, </w:t>
      </w:r>
      <m:oMath>
        <m:sSub>
          <m:e>
            <m:r>
              <w:rPr>
                <w:rFonts w:ascii="Cambria Math" w:hAnsi="Cambria Math"/>
                <w:sz w:val="24"/>
              </w:rPr>
              <m:t>D</m:t>
            </m:r>
          </m:e>
          <m:sub>
            <m:r>
              <w:rPr>
                <w:rFonts w:ascii="Cambria Math" w:hAnsi="Cambria Math"/>
                <w:sz w:val="24"/>
              </w:rPr>
              <m:t>r</m:t>
            </m:r>
          </m:sub>
        </m:sSub>
      </m:oMath>
      <w:r>
        <w:t xml:space="preserve"> contains implementable rules, and </w:t>
      </w:r>
      <m:oMath>
        <m:sSub>
          <m:e>
            <m:r>
              <w:rPr>
                <w:rFonts w:ascii="Cambria Math" w:hAnsi="Cambria Math"/>
                <w:sz w:val="24"/>
              </w:rPr>
              <m:t>R</m:t>
            </m:r>
          </m:e>
          <m:sub>
            <m:r>
              <m:rPr>
                <m:sty m:val="p"/>
              </m:rPr>
              <w:rPr>
                <w:rFonts w:ascii="Cambria Math" w:hAnsi="Cambria Math"/>
                <w:sz w:val="24"/>
              </w:rPr>
              <m:t>legal</m:t>
            </m:r>
          </m:sub>
        </m:sSub>
      </m:oMath>
      <w:r>
        <w:t xml:space="preserve"> includes applicable jurisdictional, substantive, privacy, and safety constraints. Baseline 0 represents a lawful prospective comparator. This maximin criterion evaluates incremental welfare across models, rather than mistaking a Bayes value under one favored model for a robust gain. Its conservatism depends on the model set; it is a transparent choice criterion, not a theorem selecting unique social weights.</w:t>
      </w:r>
    </w:p>
    <w:p>
      <w:r>
        <w:t xml:space="preserve">Where the authority has a justified target τ, define the least-cost remedy as the feasible policy and rule minimizing a declared burden measure, such as worst-case </w:t>
      </w:r>
      <m:oMath>
        <m:sSub>
          <m:e>
            <m:r>
              <w:rPr>
                <w:rFonts w:ascii="Cambria Math" w:hAnsi="Cambria Math"/>
                <w:sz w:val="24"/>
              </w:rPr>
              <m:t>C</m:t>
            </m:r>
          </m:e>
          <m:sub>
            <m:r>
              <w:rPr>
                <w:rFonts w:ascii="Cambria Math" w:hAnsi="Cambria Math"/>
                <w:sz w:val="24"/>
              </w:rPr>
              <m:t>r,m</m:t>
            </m:r>
          </m:sub>
        </m:sSub>
      </m:oMath>
      <w:r>
        <w:t xml:space="preserve">, subject to </w:t>
      </w:r>
      <m:oMath>
        <m:sSub>
          <m:e>
            <m:r>
              <m:rPr>
                <m:sty m:val="p"/>
              </m:rPr>
              <w:rPr>
                <w:rFonts w:ascii="Cambria Math" w:hAnsi="Cambria Math"/>
                <w:sz w:val="24"/>
              </w:rPr>
              <m:t>min</m:t>
            </m:r>
          </m:e>
          <m:sub>
            <m:r>
              <w:rPr>
                <w:rFonts w:ascii="Cambria Math" w:hAnsi="Cambria Math"/>
                <w:sz w:val="24"/>
              </w:rPr>
              <m:t>m</m:t>
            </m:r>
          </m:sub>
        </m:sSub>
      </m:oMath>
      <w:r>
        <w:t xml:space="preserve">[</w:t>
      </w:r>
      <m:oMath>
        <m:sSub>
          <m:e>
            <m:r>
              <w:rPr>
                <w:rFonts w:ascii="Cambria Math" w:hAnsi="Cambria Math"/>
                <w:sz w:val="24"/>
              </w:rPr>
              <m:t>J</m:t>
            </m:r>
          </m:e>
          <m:sub>
            <m:r>
              <w:rPr>
                <w:rFonts w:ascii="Cambria Math" w:hAnsi="Cambria Math"/>
                <w:sz w:val="24"/>
              </w:rPr>
              <m:t>m</m:t>
            </m:r>
          </m:sub>
        </m:sSub>
      </m:oMath>
      <w:r>
        <w:t xml:space="preserve">(r,d) − </w:t>
      </w:r>
      <m:oMath>
        <m:sSub>
          <m:e>
            <m:r>
              <w:rPr>
                <w:rFonts w:ascii="Cambria Math" w:hAnsi="Cambria Math"/>
                <w:sz w:val="24"/>
              </w:rPr>
              <m:t>J</m:t>
            </m:r>
          </m:e>
          <m:sub>
            <m:r>
              <w:rPr>
                <w:rFonts w:ascii="Cambria Math" w:hAnsi="Cambria Math"/>
                <w:sz w:val="24"/>
              </w:rPr>
              <m:t>m</m:t>
            </m:r>
          </m:sub>
        </m:sSub>
      </m:oMath>
      <w:r>
        <w:t xml:space="preserve">(0,</w:t>
      </w:r>
      <m:oMath>
        <m:sSub>
          <m:e>
            <m:r>
              <w:rPr>
                <w:rFonts w:ascii="Cambria Math" w:hAnsi="Cambria Math"/>
                <w:sz w:val="24"/>
              </w:rPr>
              <m:t>d</m:t>
            </m:r>
          </m:e>
          <m:sub>
            <m:r>
              <w:rPr>
                <w:rFonts w:ascii="Cambria Math" w:hAnsi="Cambria Math"/>
                <w:sz w:val="24"/>
              </w:rPr>
              <m:t>0</m:t>
            </m:r>
          </m:sub>
        </m:sSub>
      </m:oMath>
      <w:r>
        <w:t xml:space="preserve">)] ≥ τ. The target and accounting must be public. If no intervention meets it, the framework supports further measurement, a reversible pilot, or a narrower objective, while mandatory legal duties still apply.</w:t>
      </w:r>
    </w:p>
    <w:p>
      <w:r>
        <w:t xml:space="preserve">Report break-even costs, sensitive assumptions, beneficiaries, distributional effects, and uncertainty about transportability. Registration, staged implementation, review dates, and stopping rules make subsequent learning actionable. An irreversible structural remedy needs stronger justification than a temporary measurement pilot. Uncertainty is neither an automatic reason to subsidize entrants nor a basis for retaining prohibited conduct.</w:t>
      </w:r>
    </w:p>
    <w:p>
      <w:pPr>
        <w:pStyle w:val="Heading1"/>
      </w:pPr>
      <w:r>
        <w:t xml:space="preserve">7. Existing European law and institutional capacity</w:t>
      </w:r>
    </w:p>
    <w:p>
      <w:r>
        <w:t xml:space="preserve">An economic model can avoid market power as a primitive while existing law retains its own conditions. The Commission's final Article 102 exclusionary-abuse Guidelines, adopted on 3 September 2026, assess dominance, conduct, and possible justification under the Treaty; Article 102 also requires an effect on trade between Member States. Relevant-market definition is generally a prerequisite, subject to the case-specific qualifications described there. Dominance acquired on the merits is not prohibited. The 2024 Market Definition Notice supplies the applicable substitution framework. A service boundary or low comparison budget cannot replace those legal inquiries (European Commission, 2024, 2026).</w:t>
      </w:r>
    </w:p>
    <w:p>
      <w:r>
        <w:t xml:space="preserve">The Digital Markets Act provides a distinct route for designated gatekeepers and their specified core platform services. Article 3 supplies designation criteria; Article 1 preserves the application of Articles 101 and 102. Its portability, business-user data-access, and specified interoperability obligations can affect the comparisons modeled here, but their statutory scopes and conditions control. The framework does not convert every large organization into a gatekeeper or every interface into a mandatory access point (European Union, 2022a, Articles 1–3 and 6).</w:t>
      </w:r>
    </w:p>
    <w:p>
      <w:r>
        <w:t xml:space="preserve">The Digital Services Act's vetted-research access under Article 40 is tied to understanding Article 34 systemic risks and assessing Article 35 mitigation, with eligibility and safeguards. Delegated Regulation 2025/2050 specifies procedures and technical conditions. These instruments do not establish a general entitlement to confidential data for any economic research project (European Union, 2022b; European Commission, 2025). The European Centre for Algorithmic Transparency illustrates scientific and technical capacity supporting DSA implementation, rather than an independent legal mandate to preserve market comparisons (European Commission, n.d.).</w:t>
      </w:r>
    </w:p>
    <w:p>
      <w:r>
        <w:t xml:space="preserve">Accordingly, use this framework as supplemental economic evidence where the governing instrument permits it, or as a prospective legislative proposal with its own defined scope. A generic welfare sum does not override instrument-specific requirements concerning affected markets, consumers, proportionality, or justification. Cross-service informational benefits need separate substantiation and legal relevance. Any intervention must identify the competent authority and legal route before applying the economic criterion. Formal evidence of a comparison deficit is not itself evidence of exclusion, statutory systemic risk, liability, or an entitlement to compensation.</w:t>
      </w:r>
    </w:p>
    <w:p>
      <w:pPr>
        <w:pStyle w:val="Heading1"/>
      </w:pPr>
      <w:r>
        <w:t xml:space="preserve">8. Conclusion</w:t>
      </w:r>
    </w:p>
    <w:p>
      <w:r>
        <w:t xml:space="preserve">Informative access is a conditional economic objective. Its value depends on a specified decision, credible observation and intervention models, and benefits exceeding all relevant costs. The comparison-budget result motivates examining which contrasts survive feedback; Blackwell's ordering explains when their information can improve a fixed decision. Neither converts concentration into harm. Competition policy can incorporate this account by comparing lawful instruments, publishing uncertainty and break-even assumptions, and choosing the least costly intervention that meets a justified objective.</w:t>
      </w:r>
    </w:p>
    <w:p>
      <w:pPr>
        <w:pStyle w:val="Heading1"/>
      </w:pPr>
      <w:r>
        <w:t xml:space="preserve">References</w:t>
      </w:r>
    </w:p>
    <w:p>
      <w:r>
        <w:t xml:space="preserve">Blackwell, D. (1953). Equivalent comparisons of experiments. Annals of Mathematical Statistics, 24(2), 265–272. https://doi.org/10.1214/aoms/1177729032.</w:t>
      </w:r>
    </w:p>
    <w:p>
      <w:r>
        <w:t xml:space="preserve">Erlic, M. (2026). Shadow Futures: Contribution Uncertainty and the Self-Reinforcing Market. V5 author manuscript, October 2026. Associated public record: doi:10.2139/ssrn.6003994.</w:t>
      </w:r>
    </w:p>
    <w:p>
      <w:r>
        <w:t xml:space="preserve">European Commission (2024). Commission Notice on the definition of the relevant market for the purposes of Union competition law. C/2024/1645, 22 February.</w:t>
      </w:r>
    </w:p>
    <w:p>
      <w:r>
        <w:t xml:space="preserve">European Commission (2025). Commission Delegated Regulation (EU) 2025/2050 of 1 July 2025 on technical conditions and procedures for researcher data access under Regulation (EU) 2022/2065.</w:t>
      </w:r>
    </w:p>
    <w:p>
      <w:r>
        <w:t xml:space="preserve">European Commission (2026). Guidelines on the application of Article 102 TFEU to abusive exclusionary conduct by dominant undertakings. C(2026) 6118 final, 3 September.</w:t>
      </w:r>
    </w:p>
    <w:p>
      <w:r>
        <w:t xml:space="preserve">European Commission, Joint Research Centre (n.d.). About the European Centre for Algorithmic Transparency. Accessed 9 October 2026.</w:t>
      </w:r>
    </w:p>
    <w:p>
      <w:r>
        <w:t xml:space="preserve">European Union (2022a). Regulation (EU) 2022/1925 on contestable and fair markets in the digital sector (Digital Markets Act), 14 September.</w:t>
      </w:r>
    </w:p>
    <w:p>
      <w:r>
        <w:t xml:space="preserve">European Union (2022b). Regulation (EU) 2022/2065 on a Single Market for Digital Services (Digital Services Act), 19 October.</w:t>
      </w:r>
    </w:p>
    <w:p>
      <w:r>
        <w:t xml:space="preserve">Kasy, M., and Sautmann, A. (2021). Adaptive treatment assignment in experiments for policy choice. Econometrica, 89(1), 113–132. https://doi.org/10.3982/ECTA17527.</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