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Taxing the Social Cost of Lost Contestability</w:t>
      </w:r>
    </w:p>
    <w:p>
      <w:pPr>
        <w:keepNext/>
        <w:spacing w:line="240" w:lineRule="auto"/>
        <w:jc w:val="center"/>
      </w:pPr>
      <w:r>
        <w:t xml:space="preserve">Martin Erlic</w:t>
      </w:r>
    </w:p>
    <w:p>
      <w:pPr>
        <w:keepNext/>
        <w:spacing w:after="240" w:line="240" w:lineRule="auto"/>
        <w:jc w:val="center"/>
      </w:pPr>
      <w:r>
        <w:rPr>
          <w:i/>
          <w:sz w:val="20"/>
        </w:rPr>
        <w:t xml:space="preserve">October 2026 · Research draft</w:t>
      </w:r>
    </w:p>
    <w:p>
      <w:pPr>
        <w:keepNext/>
      </w:pPr>
      <w:r>
        <w:rPr>
          <w:b/>
        </w:rPr>
        <w:t xml:space="preserve">Abstract</w:t>
      </w:r>
    </w:p>
    <w:p>
      <w:r>
        <w:t xml:space="preserve">Can an adaptive platform generate an information externality relevant to corrective taxation by reducing others’ ability to learn from informative competition? This paper gives a conditional welfare model of that possibility. A firm chooses a scale or access variable, retains private returns, and changes external benefits, external damage, and the value of evidence available for future decisions. Under differentiability, quasilinear surplus, feasible transfers, and an implementable activity instrument, the corrective marginal charge equals marginal net external damage, including lost external decision value. The comparison budget can help constrain statistical separation in a specified allocation experiment; converting that bound into monetary damage requires a separate decision model and evidence about the policy counterfactual. An illustrative model shows both a positive corrective charge and a subsidy case. A proxy result explains why ordinary profit taxation need not implement the corrective margin. Uncertain damage motivates identified intervals and comparisons with access or experimentation remedies. The analysis supplies a research design for assessing undercorrection. It does not establish an optimal tax rate for existing AI companies.</w:t>
      </w:r>
    </w:p>
    <w:p>
      <w:r>
        <w:t xml:space="preserve">Keywords: corrective taxation, contestability, information externalities, adaptive markets, platform scale, policy uncertainty.</w:t>
      </w:r>
    </w:p>
    <w:p>
      <w:r>
        <w:t xml:space="preserve">JEL codes: H21, H23, D62, D83, L41.</w:t>
      </w:r>
    </w:p>
    <w:p>
      <w:pPr>
        <w:pStyle w:val="Heading1"/>
        <w:pageBreakBefore/>
      </w:pPr>
      <w:r>
        <w:t xml:space="preserve">1. Introduction</w:t>
      </w:r>
    </w:p>
    <w:p>
      <w:r>
        <w:t xml:space="preserve">A platform can lower production costs, improve matching, and make useful services available at scale. Its expansion can also change the opportunities through which rivals and public authorities learn whether alternatives would perform well. When the second effect enters no actor’s private decision at its full social value, an information externality is possible. The relevant fiscal question concerns the marginal social cost of an identified activity, rather than the size or reputation of a firm.</w:t>
      </w:r>
    </w:p>
    <w:p>
      <w:r>
        <w:t xml:space="preserve">Shadow Futures establishes a statistical impossibility under a common predictable allocation design, local equivalence, comparison-dominated separation, and an almost-surely finite comparison budget (Erlic, 2026). That result alone supplies neither an externality nor a tax formula. Statistical uncertainty has an economic cost only relative to consequential decisions, and the market failure requires a reason that the actors controlling comparison do not internalize that cost. This paper makes those additional premises explicit.</w:t>
      </w:r>
    </w:p>
    <w:p>
      <w:r>
        <w:t xml:space="preserve">The contribution is a welfare-accounting bridge. The first part defines an external decision value and derives a conditional corrective marginal charge. The second identifies what a tax authority would have to measure. The final part considers proxies and alternatives when damage cannot be point identified. Classical externality analysis remains the foundation: knowledge can have benefits outside private appropriation (Arrow, 1962), bargaining and transaction costs affect institutional comparisons (Coase, 1960), and corrective taxation interacts with other fiscal distortions (Sandmo, 1975).</w:t>
      </w:r>
    </w:p>
    <w:p>
      <w:pPr>
        <w:pStyle w:val="Heading1"/>
      </w:pPr>
      <w:r>
        <w:t xml:space="preserve">2. The externality and its decision value</w:t>
      </w:r>
    </w:p>
    <w:p>
      <w:r>
        <w:t xml:space="preserve">Fix an admissible activity a in a compact interval [0,A]. It may describe an exclusivity duration, a switching impediment, or an access condition associated with platform expansion. Its units must be specified before a charge can be stated. Let Π(a) be the firm’s expected private surplus, including the future learning benefits it already internalizes. Let G(a) and D(a) be additional noninformational benefits and damage to others, including discounted operating effects over the accounting horizon. Let V(a) be external continuation value from the evidence generated under that activity. Use a discount factor δ in (0,1].</w:t>
      </w:r>
    </w:p>
    <w:p>
      <w:pPr>
        <w:keepLines/>
        <w:spacing w:line="240" w:lineRule="auto"/>
        <w:jc w:val="center"/>
      </w:pPr>
      <m:oMathPara>
        <m:oMath>
          <m:r>
            <w:rPr>
              <w:rFonts w:ascii="Cambria Math" w:hAnsi="Cambria Math"/>
              <w:sz w:val="24"/>
            </w:rPr>
            <m:t>W</m:t>
          </m:r>
          <m:d>
            <m:dPr>
              <m:sepChr m:val=""/>
            </m:dPr>
            <m:e>
              <m:r>
                <w:rPr>
                  <w:rFonts w:ascii="Cambria Math" w:hAnsi="Cambria Math"/>
                  <w:sz w:val="24"/>
                </w:rPr>
                <m:t>a</m:t>
              </m:r>
            </m:e>
          </m:d>
          <m:r>
            <w:rPr>
              <w:rFonts w:ascii="Cambria Math" w:hAnsi="Cambria Math"/>
              <w:sz w:val="24"/>
            </w:rPr>
            <m:t>=Π</m:t>
          </m:r>
          <m:d>
            <m:dPr>
              <m:sepChr m:val=""/>
            </m:dPr>
            <m:e>
              <m:r>
                <w:rPr>
                  <w:rFonts w:ascii="Cambria Math" w:hAnsi="Cambria Math"/>
                  <w:sz w:val="24"/>
                </w:rPr>
                <m:t>a</m:t>
              </m:r>
            </m:e>
          </m:d>
          <m:r>
            <w:rPr>
              <w:rFonts w:ascii="Cambria Math" w:hAnsi="Cambria Math"/>
              <w:sz w:val="24"/>
            </w:rPr>
            <m:t>+G</m:t>
          </m:r>
          <m:d>
            <m:dPr>
              <m:sepChr m:val=""/>
            </m:dPr>
            <m:e>
              <m:r>
                <w:rPr>
                  <w:rFonts w:ascii="Cambria Math" w:hAnsi="Cambria Math"/>
                  <w:sz w:val="24"/>
                </w:rPr>
                <m:t>a</m:t>
              </m:r>
            </m:e>
          </m:d>
          <m:r>
            <w:rPr>
              <w:rFonts w:ascii="Cambria Math" w:hAnsi="Cambria Math"/>
              <w:sz w:val="24"/>
            </w:rPr>
            <m:t>−D</m:t>
          </m:r>
          <m:d>
            <m:dPr>
              <m:sepChr m:val=""/>
            </m:dPr>
            <m:e>
              <m:r>
                <w:rPr>
                  <w:rFonts w:ascii="Cambria Math" w:hAnsi="Cambria Math"/>
                  <w:sz w:val="24"/>
                </w:rPr>
                <m:t>a</m:t>
              </m:r>
            </m:e>
          </m:d>
          <m:r>
            <w:rPr>
              <w:rFonts w:ascii="Cambria Math" w:hAnsi="Cambria Math"/>
              <w:sz w:val="24"/>
            </w:rPr>
            <m:t>+δV</m:t>
          </m:r>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m:t>
          </m:r>
          <m:d>
            <m:dPr>
              <m:sepChr m:val=""/>
            </m:dPr>
            <m:e>
              <m:r>
                <w:rPr>
                  <w:rFonts w:ascii="Cambria Math" w:hAnsi="Cambria Math"/>
                  <w:sz w:val="24"/>
                </w:rPr>
                <m:t>1</m:t>
              </m:r>
            </m:e>
          </m:d>
        </m:oMath>
      </m:oMathPara>
    </w:p>
    <w:p>
      <w:r>
        <w:t xml:space="preserve">All terms use the same numeraire and resource boundary. Transfers among consumers, firms, and government cancel from aggregate quasilinear surplus. Consumer payments enter firm profit as receipts and consumer surplus as costs; their opposite signs produce that cancellation. The continuation term excludes benefits already counted in Π and ordinary future production effects already counted elsewhere. Equation (1) is a reduced-form accounting model, not a claim that every loss of market share destroys evidence.</w:t>
      </w:r>
    </w:p>
    <w:p>
      <w:r>
        <w:t xml:space="preserve">For external decision makers, V(a) is the expected value of their optimal decisions after observing the experiment induced by a, with states, payoffs, prior, and feasible actions held fixed. Its variation can be attributed to evidence only if those features and direct effects are separately accounted for. With a correct observation model and an option to ignore information, a less informative experiment in the Blackwell (1953) sense cannot improve optimal decision value; a smaller scalar comparison budget, however, does not establish such an ordering. A cost saving or a better experiment can make total welfare increase with scale.</w:t>
      </w:r>
    </w:p>
    <w:p>
      <w:r>
        <w:t xml:space="preserve">The externality requires incomplete internalization. Prospective entrants may be dispersed, comparisons may benefit consumers and future firms, or bargaining over an absent alternative may be costly. These are mechanisms to investigate. Complete contracting, transferable evidence, or privately profitable experimentation may internalize the benefit. Neither uncertainty nor technological concentration by itself demonstrates that decentralized action fails.</w:t>
      </w:r>
    </w:p>
    <w:p>
      <w:pPr>
        <w:pStyle w:val="Heading1"/>
      </w:pPr>
      <w:r>
        <w:t xml:space="preserve">3. A conditional corrective charge</w:t>
      </w:r>
    </w:p>
    <w:p>
      <w:r>
        <w:t xml:space="preserve">Suppose Π, G, D, and V are continuously differentiable. A government can levy a total payment T(a), returned through nondistortionary transfers, and the firm chooses a to maximize Π(a)−T(a). Set E(a)=G(a)−D(a)+δV(a). Assume an interior social optimum exists; for global implementation, assume W is strictly concave on the feasible interval and the instrument is enforceable.</w:t>
      </w:r>
    </w:p>
    <w:p>
      <w:pPr>
        <w:keepLines/>
        <w:spacing w:line="240" w:lineRule="auto"/>
        <w:jc w:val="center"/>
      </w:pPr>
      <m:oMathPara>
        <m:oMath>
          <m:r>
            <w:rPr>
              <w:rFonts w:ascii="Cambria Math" w:hAnsi="Cambria Math"/>
              <w:sz w:val="24"/>
            </w:rPr>
            <m:t>T′</m:t>
          </m:r>
          <m:d>
            <m:dPr>
              <m:sepChr m:val=""/>
            </m:dPr>
            <m:e>
              <m:r>
                <w:rPr>
                  <w:rFonts w:ascii="Cambria Math" w:hAnsi="Cambria Math"/>
                  <w:sz w:val="24"/>
                </w:rPr>
                <m:t>a</m:t>
              </m:r>
            </m:e>
          </m:d>
          <m:r>
            <w:rPr>
              <w:rFonts w:ascii="Cambria Math" w:hAnsi="Cambria Math"/>
              <w:sz w:val="24"/>
            </w:rPr>
            <m:t>=−E′</m:t>
          </m:r>
          <m:d>
            <m:dPr>
              <m:sepChr m:val=""/>
            </m:dPr>
            <m:e>
              <m:r>
                <w:rPr>
                  <w:rFonts w:ascii="Cambria Math" w:hAnsi="Cambria Math"/>
                  <w:sz w:val="24"/>
                </w:rPr>
                <m:t>a</m:t>
              </m:r>
            </m:e>
          </m:d>
          <m:r>
            <w:rPr>
              <w:rFonts w:ascii="Cambria Math" w:hAnsi="Cambria Math"/>
              <w:sz w:val="24"/>
            </w:rPr>
            <m:t>=D′</m:t>
          </m:r>
          <m:d>
            <m:dPr>
              <m:sepChr m:val=""/>
            </m:dPr>
            <m:e>
              <m:r>
                <w:rPr>
                  <w:rFonts w:ascii="Cambria Math" w:hAnsi="Cambria Math"/>
                  <w:sz w:val="24"/>
                </w:rPr>
                <m:t>a</m:t>
              </m:r>
            </m:e>
          </m:d>
          <m:r>
            <w:rPr>
              <w:rFonts w:ascii="Cambria Math" w:hAnsi="Cambria Math"/>
              <w:sz w:val="24"/>
            </w:rPr>
            <m:t>−G′</m:t>
          </m:r>
          <m:d>
            <m:dPr>
              <m:sepChr m:val=""/>
            </m:dPr>
            <m:e>
              <m:r>
                <w:rPr>
                  <w:rFonts w:ascii="Cambria Math" w:hAnsi="Cambria Math"/>
                  <w:sz w:val="24"/>
                </w:rPr>
                <m:t>a</m:t>
              </m:r>
            </m:e>
          </m:d>
          <m:r>
            <w:rPr>
              <w:rFonts w:ascii="Cambria Math" w:hAnsi="Cambria Math"/>
              <w:sz w:val="24"/>
            </w:rPr>
            <m:t>−δV′</m:t>
          </m:r>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m:t>
          </m:r>
          <m:d>
            <m:dPr>
              <m:sepChr m:val=""/>
            </m:dPr>
            <m:e>
              <m:r>
                <w:rPr>
                  <w:rFonts w:ascii="Cambria Math" w:hAnsi="Cambria Math"/>
                  <w:sz w:val="24"/>
                </w:rPr>
                <m:t>2</m:t>
              </m:r>
            </m:e>
          </m:d>
        </m:oMath>
      </m:oMathPara>
    </w:p>
    <w:p>
      <w:r>
        <w:t xml:space="preserve">Proposition 1. Under these assumptions, a charge satisfying (2) on the feasible interval makes the firm maximize social surplus. A charge calibrated only at an interior optimum aligns the local first-order conditions, but need not secure global implementation.</w:t>
      </w:r>
    </w:p>
    <w:p>
      <w:r>
        <w:t xml:space="preserve">Proof. Integrating gives T(a)=−E(a)+K for an arbitrary constant K. The private objective is then Π(a)+E(a)−K=W(a)−K, which has the same maximizer. At a single point, the firm’s condition Π′−T′=0 becomes W′=0; without suitable curvature and global incentives, that equality is only a local implementation condition.</w:t>
      </w:r>
    </w:p>
    <w:p>
      <w:r>
        <w:t xml:space="preserve">If activity reduces external decision value, V′ is negative and the information component −δV′ is positive. Other benefits enter with the opposite sign. Positive network effects, shared infrastructure, or externally useful learning can offset damage. An optimal correction may therefore be positive, zero, or negative. This sign ambiguity is substantive: the fiscal model evaluates an external margin, rather than assuming that a large technological firm deserves a positive charge.</w:t>
      </w:r>
    </w:p>
    <w:p>
      <w:r>
        <w:t xml:space="preserve">The result is a first-best benchmark conditional on the model. Public financing needs, tax evasion, international relocation, existing market power, and distortionary revenue instruments require a second-best analysis. A sum-of-surplus optimum also does not establish an actual Pareto improvement without feasible compensation. Distributional judgments should be stated through a specified social objective or welfare weights, not hidden inside the word efficient (Saez and Stantcheva, 2016).</w:t>
      </w:r>
    </w:p>
    <w:p>
      <w:pPr>
        <w:pStyle w:val="Heading1"/>
      </w:pPr>
      <w:r>
        <w:t xml:space="preserve">4. An illustrative calculation</w:t>
      </w:r>
    </w:p>
    <w:p>
      <w:r>
        <w:t xml:space="preserve">Take Π(a)=4a−a²/2, G(a)=ba, D(a)=da²/2, and V(a)=V₀−κa over a range where continuation value remains nonnegative. Let d be nonnegative and κ positive. The linear evidence term is an assumed local approximation to external decision value; it is not calculated from a comparison-budget count. The uncorrected private optimum is a=4 when the upper bound exceeds that value.</w:t>
      </w:r>
    </w:p>
    <w:p>
      <w:pPr>
        <w:keepLines/>
        <w:spacing w:line="240" w:lineRule="auto"/>
        <w:jc w:val="center"/>
      </w:pPr>
      <m:oMathPara>
        <m:oMath>
          <m:sSup>
            <m:e>
              <m:r>
                <w:rPr>
                  <w:rFonts w:ascii="Cambria Math" w:hAnsi="Cambria Math"/>
                  <w:sz w:val="24"/>
                </w:rPr>
                <m:t>a</m:t>
              </m:r>
            </m:e>
            <m:sup>
              <m:r>
                <w:rPr>
                  <w:rFonts w:ascii="Cambria Math" w:hAnsi="Cambria Math"/>
                  <w:sz w:val="24"/>
                </w:rPr>
                <m:t>*</m:t>
              </m:r>
            </m:sup>
          </m:sSup>
          <m:r>
            <w:rPr>
              <w:rFonts w:ascii="Cambria Math" w:hAnsi="Cambria Math"/>
              <w:sz w:val="24"/>
            </w:rPr>
            <m:t>=</m:t>
          </m:r>
          <m:r>
            <m:rPr>
              <m:sty m:val="p"/>
            </m:rPr>
            <w:rPr>
              <w:rFonts w:ascii="Cambria Math" w:hAnsi="Cambria Math"/>
              <w:sz w:val="24"/>
            </w:rPr>
            <m:t>max</m:t>
          </m:r>
          <m:r>
            <w:rPr>
              <w:rFonts w:ascii="Cambria Math" w:hAnsi="Cambria Math"/>
              <w:sz w:val="24"/>
            </w:rPr>
            <m:t>{0,</m:t>
          </m:r>
          <m:r>
            <m:rPr>
              <m:sty m:val="p"/>
            </m:rPr>
            <w:rPr>
              <w:rFonts w:ascii="Cambria Math" w:hAnsi="Cambria Math"/>
              <w:sz w:val="24"/>
            </w:rPr>
            <m:t>min</m:t>
          </m:r>
          <m:r>
            <w:rPr>
              <w:rFonts w:ascii="Cambria Math" w:hAnsi="Cambria Math"/>
              <w:sz w:val="24"/>
            </w:rPr>
            <m:t>{A,</m:t>
          </m:r>
          <m:f>
            <m:fPr>
              <m:type m:val="bar"/>
            </m:fPr>
            <m:num>
              <m:r>
                <w:rPr>
                  <w:rFonts w:ascii="Cambria Math" w:hAnsi="Cambria Math"/>
                  <w:sz w:val="24"/>
                </w:rPr>
                <m:t>4+b−δκ</m:t>
              </m:r>
            </m:num>
            <m:den>
              <m:r>
                <w:rPr>
                  <w:rFonts w:ascii="Cambria Math" w:hAnsi="Cambria Math"/>
                  <w:sz w:val="24"/>
                </w:rPr>
                <m:t>1+d</m:t>
              </m:r>
            </m:den>
          </m:f>
          <m:r>
            <w:rPr>
              <w:rFonts w:ascii="Cambria Math" w:hAnsi="Cambria Math"/>
              <w:sz w:val="24"/>
            </w:rPr>
            <m:t>}}.</m:t>
          </m:r>
          <m:r>
            <m:rPr>
              <m:nor/>
            </m:rPr>
            <w:rPr>
              <w:rFonts w:ascii="Cambria Math" w:hAnsi="Cambria Math"/>
              <w:sz w:val="24"/>
            </w:rPr>
            <m:t>  </m:t>
          </m:r>
          <m:d>
            <m:dPr>
              <m:sepChr m:val=""/>
            </m:dPr>
            <m:e>
              <m:r>
                <w:rPr>
                  <w:rFonts w:ascii="Cambria Math" w:hAnsi="Cambria Math"/>
                  <w:sz w:val="24"/>
                </w:rPr>
                <m:t>3</m:t>
              </m:r>
            </m:e>
          </m:d>
        </m:oMath>
      </m:oMathPara>
    </w:p>
    <w:p>
      <w:r>
        <w:t xml:space="preserve">With A=6, d=0.25, b=0.2, and δκ=0.6, the interior social optimum is 2.88. The corrective marginal charge there is 0.25×2.88+0.6−0.2=1.12 units of money per unit of the activity. These figures are stipulated examples. They are not a proposed tax percentage, an empirical estimate, or a calibration to the AI sector.</w:t>
      </w:r>
    </w:p>
    <w:p>
      <w:r>
        <w:t xml:space="preserve">With d=0, b=1, and δκ=0.2, the social optimum is 4.8. Equation (2) gives a marginal subsidy of 0.8, because the external benefits exceed the loss of decision value. Both examples share a private production objective and the possibility of lost evidence. They produce opposite corrections because their external welfare terms differ.</w:t>
      </w:r>
    </w:p>
    <w:p>
      <w:r>
        <w:t xml:space="preserve">This calculation isolates the claim that must be established in application. A platform may have a positive private marginal return while creating negative net external effects, causing privately chosen activity to exceed the social optimum. Demonstrating that inequality for a real company requires measurements of those effects and the equilibrium response to the instrument. A theorem about single-history inference cannot fill in the missing monetary quantities.</w:t>
      </w:r>
    </w:p>
    <w:p>
      <w:pPr>
        <w:pStyle w:val="Heading1"/>
      </w:pPr>
      <w:r>
        <w:t xml:space="preserve">5. From comparisons to monetary damage</w:t>
      </w:r>
    </w:p>
    <w:p>
      <w:r>
        <w:t xml:space="preserve">A comparison budget sums conditional allocation probability outside the current leader. In the bounded conditional-logit experiment, it bounds cumulative Fisher information and finite-horizon KL separation. Translating those statistical bounds into V requires a consequential decision: whether to fund a rival, change an access rule, adopt a technology, or choose a procurement supplier. The payoffs from correct and incorrect choices must be specified, together with the uncertainty that the comparison experiment can resolve.</w:t>
      </w:r>
    </w:p>
    <w:p>
      <w:r>
        <w:t xml:space="preserve">The empirical target is the change in external decision value induced by a marginal change in a. It is not the correlation of firm size with rivalry or the observed fall in an allocation probability. Candidate designs compare otherwise similar access conditions, protected experimentation channels, or policy discontinuities. They must account for other observed information, changes in quality, substitution across channels, and altered entry incentives. Moving a transaction to another channel may preserve or destroy information depending on what becomes observable there.</w:t>
      </w:r>
    </w:p>
    <w:p>
      <w:r>
        <w:t xml:space="preserve">The companion measurement paper supplies an exact synthetic demonstration and a field protocol. Its simulated values illustrate the information mechanism under known structural assumptions. They do not monetize harm. A practical valuation study would add decision payoffs, intervention costs, private internalization, and competing scale benefits. Parameter uncertainty and causal-design uncertainty should propagate into an interval for the corrective margin, rather than disappear in a single preferred specification.</w:t>
      </w:r>
    </w:p>
    <w:p>
      <w:r>
        <w:t xml:space="preserve">To claim undercorrection at an observed activity a₀, define the effective existing marginal wedge on the same activity and in the same units. Regulatory obligations may alter the feasible set instead of supplying a scalar wedge; their effects require a separate implementation model. Compare an identified interval for −E′(a₀) with the existing wedge where that comparison is valid. Evidence of undercorrection requires the interval’s lower endpoint to exceed the wedge. This test does not compare a statutory corporate tax rate directly with a cost per foreclosed comparison.</w:t>
      </w:r>
    </w:p>
    <w:p>
      <w:pPr>
        <w:pStyle w:val="Heading1"/>
      </w:pPr>
      <w:r>
        <w:t xml:space="preserve">6. Why a profit tax is not the same instrument</w:t>
      </w:r>
    </w:p>
    <w:p>
      <w:r>
        <w:t xml:space="preserve">A uniform proportional tax on true economic profit, with full cost deductibility and a constant rate t&lt;1, leaves the firm maximizing (1−t)Π(a). In this simple model it does not change the maximizing activity. Revenue collection and correction of an external behavioral margin are distinct functions. Actual corporate taxes have different bases, financing effects, and incidence, so this observation is a benchmark rather than a prediction about every corporate-tax system.</w:t>
      </w:r>
    </w:p>
    <w:p>
      <w:r>
        <w:t xml:space="preserve">Suppose only a measurable proxy z(a) can be taxed through a payment g(z). At an interior target the private incentive contains g′(z(a))z′(a). An activity-equivalent correction therefore requires:</w:t>
      </w:r>
    </w:p>
    <w:p>
      <w:pPr>
        <w:keepLines/>
        <w:spacing w:line="240" w:lineRule="auto"/>
        <w:jc w:val="center"/>
      </w:pPr>
      <m:oMathPara>
        <m:oMath>
          <m:r>
            <w:rPr>
              <w:rFonts w:ascii="Cambria Math" w:hAnsi="Cambria Math"/>
              <w:sz w:val="24"/>
            </w:rPr>
            <m:t>g′</m:t>
          </m:r>
          <m:d>
            <m:dPr>
              <m:sepChr m:val=""/>
            </m:dPr>
            <m:e>
              <m:r>
                <w:rPr>
                  <w:rFonts w:ascii="Cambria Math" w:hAnsi="Cambria Math"/>
                  <w:sz w:val="24"/>
                </w:rPr>
                <m:t>z</m:t>
              </m:r>
              <m:d>
                <m:dPr>
                  <m:sepChr m:val=""/>
                </m:dPr>
                <m:e>
                  <m:r>
                    <w:rPr>
                      <w:rFonts w:ascii="Cambria Math" w:hAnsi="Cambria Math"/>
                      <w:sz w:val="24"/>
                    </w:rPr>
                    <m:t>a</m:t>
                  </m:r>
                </m:e>
              </m:d>
            </m:e>
          </m:d>
          <m:r>
            <w:rPr>
              <w:rFonts w:ascii="Cambria Math" w:hAnsi="Cambria Math"/>
              <w:sz w:val="24"/>
            </w:rPr>
            <m:t>z′</m:t>
          </m:r>
          <m:d>
            <m:dPr>
              <m:sepChr m:val=""/>
            </m:dPr>
            <m:e>
              <m:r>
                <w:rPr>
                  <w:rFonts w:ascii="Cambria Math" w:hAnsi="Cambria Math"/>
                  <w:sz w:val="24"/>
                </w:rPr>
                <m:t>a</m:t>
              </m:r>
            </m:e>
          </m:d>
          <m:r>
            <w:rPr>
              <w:rFonts w:ascii="Cambria Math" w:hAnsi="Cambria Math"/>
              <w:sz w:val="24"/>
            </w:rPr>
            <m:t>=−E′</m:t>
          </m:r>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m:t>
          </m:r>
          <m:d>
            <m:dPr>
              <m:sepChr m:val=""/>
            </m:dPr>
            <m:e>
              <m:r>
                <w:rPr>
                  <w:rFonts w:ascii="Cambria Math" w:hAnsi="Cambria Math"/>
                  <w:sz w:val="24"/>
                </w:rPr>
                <m:t>4</m:t>
              </m:r>
            </m:e>
          </m:d>
        </m:oMath>
      </m:oMathPara>
    </w:p>
    <w:p>
      <w:r>
        <w:t xml:space="preserve">Proposition 2. If two admissible activities have the same proxy value and nonzero proxy derivatives but different values of −E′(a)/z′(a), a differentiable payment depending only on that proxy cannot implement the corrective marginal charge at both activities.</w:t>
      </w:r>
    </w:p>
    <w:p>
      <w:r>
        <w:t xml:space="preserve">Proof. Equation (4) requires g′ at the common proxy value to equal each of the two ratios. A single derivative cannot have two different values. If the proxy derivative is zero while external marginal damage is nonzero, the proxy also cannot supply a local correction.</w:t>
      </w:r>
    </w:p>
    <w:p>
      <w:r>
        <w:t xml:space="preserve">Revenue, model parameter count, compute usage, or market capitalization may be administratively visible while tracking the relevant externality poorly. A targeted access requirement or a subsidy for informative independent experiments may act more directly on the margin. Their own costs and spillovers must be evaluated; directness is an empirical and institutional advantage to test, not a guarantee of efficiency.</w:t>
      </w:r>
    </w:p>
    <w:p>
      <w:pPr>
        <w:pStyle w:val="Heading1"/>
      </w:pPr>
      <w:r>
        <w:t xml:space="preserve">7. Policy under uncertainty</w:t>
      </w:r>
    </w:p>
    <w:p>
      <w:r>
        <w:t xml:space="preserve">When a credible design supports a positive net marginal external-cost interval, an implementable charge or an equivalent access remedy can be evaluated. When the interval includes zero, a definitive positive Pigouvian rate is not identified. Manski’s (2013) treatment of policy under uncertainty motivates retaining competing models and examining decision losses across them. Choosing a precautionary or minimax-regret rule is a stated policy judgment; it is not another conclusion of the impossibility theorem.</w:t>
      </w:r>
    </w:p>
    <w:p>
      <w:r>
        <w:t xml:space="preserve">The policy menu should include the baseline, a targeted activity charge, protected experimentation, portability or interoperability measures, and combinations that fund independent evaluation. Compare their total expected surplus, administrative cost, innovation response, and distributional incidence. The price-versus-quantity problem under uncertainty is established territory (Weitzman, 1974). Nonconvex scale economies make simplistic equivalence between a tax and an access quota particularly doubtful.</w:t>
      </w:r>
    </w:p>
    <w:p>
      <w:r>
        <w:t xml:space="preserve">A funded evaluation stream creates further questions of governance. Its research design must preserve relevant structural comparisons, release usable evidence where appropriate, and avoid simply financing the incumbent’s preferred narrative. If benefits are already fully internalized, additional public funding may displace private evaluation. International implementation must also account for relocation of the activity and coordination across affected jurisdictions.</w:t>
      </w:r>
    </w:p>
    <w:p>
      <w:r>
        <w:t xml:space="preserve">AI is an important prospective application because architecture, distribution, and procurement may jointly affect feasible entry and evidence production. The present model supports asking whether those choices create uncompensated marginal social costs. It does not establish that current AI companies are undertaxed, that all scale is harmful, or that a single sector-wide rate corrects the problem. Those are separate hypotheses requiring the measurement and welfare work specified here.</w:t>
      </w:r>
    </w:p>
    <w:p>
      <w:pPr>
        <w:pStyle w:val="Heading1"/>
      </w:pPr>
      <w:r>
        <w:t xml:space="preserve">8. Conclusion</w:t>
      </w:r>
    </w:p>
    <w:p>
      <w:r>
        <w:t xml:space="preserve">Lost informative contestability can enter corrective taxation when an identified activity reduces external decision value and the controlling firm does not internalize that reduction. Under a quasilinear first-best benchmark, the marginal charge equals net external marginal damage, including the evidence term. Positive scale benefits can reduce the charge or reverse its sign.</w:t>
      </w:r>
    </w:p>
    <w:p>
      <w:r>
        <w:t xml:space="preserve">The comparison-budget result supplies a statistical constraint within a specified experiment. A decision model, causal policy variation, monetary valuation, and an implementable instrument connect that constraint to taxation. Keeping these steps separate produces a professional and testable program: determine whether an external cost exists, bound its marginal value, and compare the least-cost ways to internalize it.</w:t>
      </w:r>
    </w:p>
    <w:p>
      <w:pPr>
        <w:pStyle w:val="Heading1"/>
      </w:pPr>
      <w:r>
        <w:t xml:space="preserve">References</w:t>
      </w:r>
    </w:p>
    <w:p>
      <w:r>
        <w:t xml:space="preserve">Arrow, K. J. (1962). Economic welfare and the allocation of resources for invention. In The Rate and Direction of Inventive Activity: Economic and Social Factors. Princeton University Press, 609–626.</w:t>
      </w:r>
    </w:p>
    <w:p>
      <w:r>
        <w:t xml:space="preserve">Blackwell, D. (1953). Equivalent comparisons of experiments. Annals of Mathematical Statistics, 24(2), 265–272. doi:10.1214/aoms/1177729032.</w:t>
      </w:r>
    </w:p>
    <w:p>
      <w:r>
        <w:t xml:space="preserve">Coase, R. H. (1960). The problem of social cost. The Journal of Law and Economics, 3, 1–44. doi:10.1086/466560.</w:t>
      </w:r>
    </w:p>
    <w:p>
      <w:r>
        <w:t xml:space="preserve">Erlic, M. (2026). Shadow Futures: Contribution Uncertainty and the Self-Reinforcing Market. V5 author manuscript, October 2026. Associated public record: doi:10.2139/ssrn.6003994.</w:t>
      </w:r>
    </w:p>
    <w:p>
      <w:r>
        <w:t xml:space="preserve">Manski, C. F. (2013). Public Policy in an Uncertain World: Analysis and Decisions. Harvard University Press.</w:t>
      </w:r>
    </w:p>
    <w:p>
      <w:r>
        <w:t xml:space="preserve">Saez, E., and Stantcheva, S. (2016). Generalized social marginal welfare weights for optimal tax theory. American Economic Review, 106(1), 24–45. doi:10.1257/aer.20141362.</w:t>
      </w:r>
    </w:p>
    <w:p>
      <w:r>
        <w:t xml:space="preserve">Sandmo, A. (1975). Optimal taxation in the presence of externalities. The Swedish Journal of Economics, 77(1), 86–98. doi:10.2307/3439329.</w:t>
      </w:r>
    </w:p>
    <w:p>
      <w:r>
        <w:t xml:space="preserve">Weitzman, M. L. (1974). Prices vs. quantities. The Review of Economic Studies, 41(4), 477–491. doi:10.2307/2296698.</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