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Shadow Futures Argument Brief</w:t>
      </w:r>
    </w:p>
    <w:p>
      <w:pPr>
        <w:pStyle w:val="Subtitle"/>
      </w:pPr>
      <w:r>
        <w:t>Martin Erlic   16 October 2026</w:t>
      </w:r>
    </w:p>
    <w:p>
      <w:pPr>
        <w:widowControl/>
      </w:pPr>
      <w:r>
        <w:t>A song called Lockdown finished first in one MusicLab world and fortieth in another. The recording was the same, competing against the same songs. What changed was the sequence of listeners and the popularity information they encountered. Salganik, Dodds, and Watts created the parallel markets; the rankings are also described in Salganik's own account. Shadow Futures begins with that documented result and asks what we can learn about success when ordinary economic life gives us only one history (Salganik, Dodds, and Watts, 2006; Salganik, Bit by Bit).</w:t>
      </w:r>
    </w:p>
    <w:p>
      <w:pPr>
        <w:pStyle w:val="Heading2"/>
      </w:pPr>
      <w:r>
        <w:t>The comparison budget</w:t>
      </w:r>
    </w:p>
    <w:p>
      <w:pPr>
        <w:widowControl/>
      </w:pPr>
      <w:r>
        <w:t>Imagine two software suppliers, Aster and Birch. They are explicitly fictional. Their work and product characteristics are observable, but the effect of those inputs on winning contracts is unknown. An early contract can build references and access that influence later contracts. For each award, take the chance that it goes to someone other than the current favorite. Add those chances over the sequence. I call this total the comparison budget. The favorite can change. The budget adds opportunities outside the favorite; it does not count actual rival victories or independent experiments.</w:t>
      </w:r>
    </w:p>
    <w:p>
      <w:pPr>
        <w:widowControl/>
      </w:pPr>
      <w:r>
        <w:t>In my specified allocation model, that budget places an upper bound on the information the award record supplies about productive input effects. A large budget still requires informative differences between alternatives. A small chance repeated indefinitely can accumulate without limit. Concentration or a low current chance alone therefore does not establish the strongest result. The relevant question is how much comparison the whole allocation process preserves (Erlic, v5, Sections 2 and 3).</w:t>
      </w:r>
    </w:p>
    <w:p>
      <w:pPr>
        <w:pStyle w:val="Heading2"/>
      </w:pPr>
      <w:r>
        <w:t>Shadow futures</w:t>
      </w:r>
    </w:p>
    <w:p>
      <w:pPr>
        <w:widowControl/>
      </w:pPr>
      <w:r>
        <w:t>A shadow future is another feasible allocation history with the same starting conditions, rules, and underlying effects of productive inputs. In one, Birch receives the early contract and develops differently. Later effort can respond to earlier outcomes under the same response rule. These replays reveal historical variation. A separate intervention, such as changing effort, defines the contribution we want to estimate. An imagined better economy is not evidence merely because we can describe it (Erlic, v5, Section 4).</w:t>
      </w:r>
    </w:p>
    <w:p>
      <w:pPr>
        <w:widowControl/>
      </w:pPr>
      <w:r>
        <w:t>The strongest result requires common rules, the same possible next winners under each explanation, controlled differences between their predictions, and a finite lifetime comparison budget. Under those conditions, there is no single method whose contribution estimates become reliably accurate under every candidate explanation as one history grows. I call the unresolved attribution contribution uncertainty. Work can still matter. Extra outcome measurements carrying information about its effect must be counted separately. Forecasts can nevertheless converge, using Blackwell and Dubins's classical result (1962), while the attribution limit remains (Erlic, v5, Section 3 and Appendix B).</w:t>
      </w:r>
    </w:p>
    <w:p>
      <w:r>
        <w:br w:type="page"/>
      </w:r>
    </w:p>
    <w:p>
      <w:pPr>
        <w:pStyle w:val="Heading2"/>
      </w:pPr>
      <w:r>
        <w:t>What is new</w:t>
      </w:r>
    </w:p>
    <w:p>
      <w:pPr>
        <w:widowControl/>
      </w:pPr>
      <w:r>
        <w:t>I propose an economic information bound connecting the comparison budget to what reward histories reveal about the effects of work, quality, and investment. It limits precision in a finite record and, under further conditions, reliable attribution as history extends indefinitely. Alchian (1950) already explained profit-based selection under uncertainty. Increasing returns and cumulative advantage are established ideas (Arthur, 1989; Merton, 1968). Estimation failure in a reinforced urn predates this paper (Le Goff and Soulier, 2017), as does accurate prediction alongside inconsistent parameter estimation (Zhang, 2004). The contribution is this defined object, bound, and economic interpretation. Its probability foundations are classical; priority requires wider review.</w:t>
      </w:r>
    </w:p>
    <w:p>
      <w:pPr>
        <w:pStyle w:val="Heading2"/>
      </w:pPr>
      <w:r>
        <w:t>AI and work</w:t>
      </w:r>
    </w:p>
    <w:p>
      <w:pPr>
        <w:widowControl/>
      </w:pPr>
      <w:r>
        <w:t>AI makes the distinction between activity and comparison consequential. Frontier training and deployment depend on compute, infrastructure, and distribution. Inference means running a trained model to produce an output. A growing volume of outputs can reveal performance on encountered tasks without independently testing alternative suppliers, training strategies, or economic arrangements. AI can also lower the cost of those tests. Whether it expands the comparison budget is an empirical and institutional question. The work chapter pairs observed productivity gains in customer support with METR's account of developers avoiding tasks that might be assigned to a no-AI condition (Brynjolfsson, Li, and Raymond, 2025; METR, 2026).</w:t>
      </w:r>
    </w:p>
    <w:p>
      <w:pPr>
        <w:pStyle w:val="Heading2"/>
      </w:pPr>
      <w:r>
        <w:t>Antitrust</w:t>
      </w:r>
    </w:p>
    <w:p>
      <w:pPr>
        <w:widowControl/>
      </w:pPr>
      <w:r>
        <w:t>An access rule or merger can change which alternatives receive interpretable trials. This supplies a possible informational rationale for intervention alongside established price, quality, and innovation concerns. I use epistemic monopoly for control over relevant comparison production, explicitly crediting Meghani's prior use of the term (2021). An intervention must improve a consequential decision enough to justify its costs. Internal experiments may preserve learning, and independent routes may be expensive. This economic argument does not itself establish legal liability or remove existing statutory requirements (Erlic, v5, Sections 4 and 5).</w:t>
      </w:r>
    </w:p>
    <w:p>
      <w:pPr>
        <w:pStyle w:val="Heading2"/>
      </w:pPr>
      <w:r>
        <w:t>Taxation</w:t>
      </w:r>
    </w:p>
    <w:p>
      <w:pPr>
        <w:widowControl/>
      </w:pPr>
      <w:r>
        <w:t>There are two arguments. First, economies that generate indistinguishable observable histories can attribute different contributions to the same reward. A rule using those histories cannot divide every reward exactly into earned income and positional advantage in both economies. This separate hidden-position argument does not invalidate optimal taxation (Erlic, v5, Section 5 and Appendix E; Piketty, Saez, and Stantcheva, 2014; Rothschild and Scheuer, 2016). Second, conduct removing informative trials may impose an external cost. A corrective tax needs evidence of that causal link, a valuable affected decision, private incentives that miss part of the social cost, and an instrument worth its cost. Arrow helps supply the additional welfare foundation (1962, 1963).</w:t>
      </w:r>
    </w:p>
    <w:p>
      <w:pPr>
        <w:pStyle w:val="Heading2"/>
      </w:pPr>
      <w:r>
        <w:t>The book</w:t>
      </w:r>
    </w:p>
    <w:p>
      <w:pPr>
        <w:widowControl/>
      </w:pPr>
      <w:r>
        <w:t>The narrative returns to Lockdown and to Aster and Birch as the stakes move from cultural success to AI procurement, work, and policy. Published experiments, court records, and economic history carry the real cases; interviews are not required. The closing question is how institutions can preserve enough informative opportunity to discover better arrangements while capturing the benefits of scale. The technical source is my SSRN preprint and its October 2026 v5 manuscript, not an accepted journal publication.</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Times New Roman" w:hAnsi="Times New Roman"/>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Argument Brief</dc:title>
  <dc:subject/>
  <dc:creator>Martin Erlic</dc:creator>
  <cp:keywords/>
  <dc:description>generated by python-docx</dc:description>
  <cp:lastModifiedBy/>
  <cp:revision>1</cp:revision>
  <dcterms:created xsi:type="dcterms:W3CDTF">2013-12-23T23:15:00Z</dcterms:created>
  <dcterms:modified xsi:type="dcterms:W3CDTF">2013-12-23T23:15:00Z</dcterms:modified>
  <cp:category/>
</cp:coreProperties>
</file>