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3414" w14:textId="77777777" w:rsidR="004D3192" w:rsidRDefault="00000000">
      <w:pPr>
        <w:pStyle w:val="Title"/>
        <w:keepNext/>
        <w:spacing w:line="240" w:lineRule="auto"/>
        <w:jc w:val="center"/>
      </w:pPr>
      <w:r>
        <w:rPr>
          <w:rFonts w:ascii="Times New Roman" w:hAnsi="Times New Roman"/>
          <w:b/>
          <w:sz w:val="28"/>
        </w:rPr>
        <w:t>Shadow Futures: Contribution Uncertainty and the Self-Reinforcing Market</w:t>
      </w:r>
    </w:p>
    <w:p w14:paraId="3E22C6EC" w14:textId="77777777" w:rsidR="004D3192" w:rsidRDefault="00000000">
      <w:pPr>
        <w:keepNext/>
        <w:spacing w:line="240" w:lineRule="auto"/>
        <w:jc w:val="center"/>
      </w:pPr>
      <w:r>
        <w:t>Martin Erlic</w:t>
      </w:r>
    </w:p>
    <w:p w14:paraId="5736158A" w14:textId="77777777" w:rsidR="004D3192" w:rsidRDefault="00000000">
      <w:pPr>
        <w:keepNext/>
        <w:spacing w:after="240" w:line="240" w:lineRule="auto"/>
        <w:jc w:val="center"/>
      </w:pPr>
      <w:r>
        <w:rPr>
          <w:i/>
          <w:sz w:val="20"/>
        </w:rPr>
        <w:t>First posted December 2025; revised October 2026</w:t>
      </w:r>
    </w:p>
    <w:p w14:paraId="50E525C0" w14:textId="77777777" w:rsidR="004D3192" w:rsidRDefault="00000000">
      <w:pPr>
        <w:keepNext/>
      </w:pPr>
      <w:r>
        <w:rPr>
          <w:b/>
        </w:rPr>
        <w:t>Abstract</w:t>
      </w:r>
    </w:p>
    <w:p w14:paraId="49282AFB" w14:textId="77777777" w:rsidR="00CD2267" w:rsidRDefault="00CD2267">
      <w:r>
        <w:t>Can a market observe productive inputs perfectly yet fail to learn their effects on reward? This paper studies adaptive allocation in which verified inputs enter reward odds while past rewards change future exposure. The comparison budget is cumulative allocation probability outside the current leader. In conditional logit, it bounds Fisher information and finite-horizon statistical separation. Under a common predictable design, local equivalence, and comparison-dominated separation, an almost-surely finite budget yields equivalent complete-history laws. No estimator of a nonconstant contribution functional can then be consistent at every parameter; no test can have both errors vanish. By Blackwell–Dubins, conditional forecasts nevertheless merge: predictive agreement can coexist with permanent uncertainty about input effects. A local two-point lower bound relates attribution precision to the expected comparison budget. Strong reinforcement supplies one sufficient case; fixed inputs with latent position yield a separate failure of point identification. Unrealized comparison paths are shadow futures. The contribution is an economic information bound and its attribution interpretation, using classical probability machinery. Productive inputs can remain causally effective even when their effects cannot be consistently recovered from one market history.</w:t>
      </w:r>
    </w:p>
    <w:p w14:paraId="71F4C414" w14:textId="469E7CD7" w:rsidR="004D3192" w:rsidRDefault="00000000">
      <w:r>
        <w:t>Keywords: comparison budget; increasing returns; path dependence; identification; cumulative advantage; monopoly; competition policy</w:t>
      </w:r>
    </w:p>
    <w:p w14:paraId="561317BF" w14:textId="77777777" w:rsidR="004D3192" w:rsidRDefault="00000000">
      <w:r>
        <w:t>JEL classifications: C13; C18; D43; D83; D85; L41</w:t>
      </w:r>
    </w:p>
    <w:p w14:paraId="3582DB1F" w14:textId="77777777" w:rsidR="004D3192" w:rsidRDefault="00000000">
      <w:pPr>
        <w:pStyle w:val="Heading1"/>
      </w:pPr>
      <w:r>
        <w:lastRenderedPageBreak/>
        <w:t>1. Introduction</w:t>
      </w:r>
    </w:p>
    <w:p w14:paraId="781CFAD7" w14:textId="19DFF06D" w:rsidR="004D3192" w:rsidRDefault="00000000">
      <w:r>
        <w:t xml:space="preserve">A successful firm can arrive with a warehouse of evidence. </w:t>
      </w:r>
      <w:r w:rsidR="00730BF9" w:rsidRPr="00730BF9">
        <w:t>It can produce payroll records, patents, code commits, invoices, and proof of capital committed and risks borne.</w:t>
      </w:r>
      <w:r>
        <w:t xml:space="preserve"> Every document can be genuine. </w:t>
      </w:r>
      <w:r w:rsidR="00700D1B" w:rsidRPr="00700D1B">
        <w:t>The missing exhibit is the same firm run again with a different first customer, ranking, distribution channel, or early shock.</w:t>
      </w:r>
      <w:r>
        <w:t xml:space="preserve"> That firm exists only as an unrealized history.</w:t>
      </w:r>
    </w:p>
    <w:p w14:paraId="0AD00E5C" w14:textId="6BE1300C" w:rsidR="004D3192" w:rsidRDefault="00000000">
      <w:r>
        <w:t>Economic systems often turn early outcomes into later access. A freelancer's first rating affects the next client; a creator's first burst of attention affects recommendations. A startup's first customer can shape financing and distribution. A paper's first placement can shape later citations. Field experiments document success-breeds-success effects (van de Rijt et al., 2014). Real work and risk occur inside tournaments in which each result changes later odds.</w:t>
      </w:r>
    </w:p>
    <w:p w14:paraId="6AC38376" w14:textId="43737F87" w:rsidR="004D3192" w:rsidRDefault="00000000">
      <w:r>
        <w:t xml:space="preserve">Economics has long understood that increasing returns and cumulative advantage can create concentration, lock-in, and historical selection (Arthur, 1989; David, 1985; Merton, 1968). This paper asks a prior question. </w:t>
      </w:r>
      <w:r w:rsidR="009D15B1" w:rsidRPr="009D15B1">
        <w:t>Once reward compounds through position, can the realized market history reveal how much of the outcome was caused by work, quality, capital, or risk?</w:t>
      </w:r>
    </w:p>
    <w:p w14:paraId="2109744C" w14:textId="47BB0BC5" w:rsidR="002B03A9" w:rsidRDefault="002B03A9">
      <w:r>
        <w:t>The distinction is between causal effect and recoverability. Better products may raise winning odds; effort and capital at risk may improve outcomes and justify ex ante premiums. These effects need not be consistently recoverable from one reinforced history. Abundant detail need not reveal intervention effects (Bar-Yam, 2016). A market can keep paying after it has stopped learning.</w:t>
      </w:r>
    </w:p>
    <w:p w14:paraId="67C77BFB" w14:textId="7D47192D" w:rsidR="004D3192" w:rsidRDefault="00091E8C">
      <w:r>
        <w:t>Akerlof’s (1970) lemons problem concerns hidden quality. Here productive inputs may be public, measured without error, and used directly by the allocation rule. The missing information is historical: how those inputs would have performed under different early shocks. Better disclosure cannot reveal an experiment that was never run.</w:t>
      </w:r>
    </w:p>
    <w:p w14:paraId="0A18AC3D" w14:textId="77777777" w:rsidR="00E01991" w:rsidRDefault="00E01991">
      <w:r>
        <w:t>I call this contribution uncertainty: uncertainty about a model-defined effect of productive inputs on reward. A time sheet, audit, or ledger may establish that work occurred. It does not establish the counterfactual difference that work made through a self-reinforcing allocation process.</w:t>
      </w:r>
    </w:p>
    <w:p w14:paraId="046C7876" w14:textId="1ECD01EE" w:rsidR="004D3192" w:rsidRDefault="00000000">
      <w:r>
        <w:t>The paper makes three claims. First, transaction volume need not measure information about input effects. In conditional logit, cumulative Fisher information and finite-horizon statistical separation are bounded by the comparison budget. Second, under the stated equivalence and separation conditions, an almost-surely finite budget rules out universally consistent recovery of nonconstant contribution functionals from one history. Third, competitive routes can preserve informative comparison when they share a structural parameter and generate independent allocation shocks. Concentration can therefore create an epistemic loss without deliberate exclusion or monopoly pricing.</w:t>
      </w:r>
    </w:p>
    <w:p w14:paraId="333AE4F6" w14:textId="65D20664" w:rsidR="00864C8A" w:rsidRDefault="005A385A">
      <w:r>
        <w:t>The probability machinery is classical, from product-measure equivalence (Kakutani, 1948) to general random sequences (Kabanov, Liptser, and Shiryaev, 1977). Reinforced-process theory explains nonlinear dominance (Pemantle, 2007); Le Goff and Soulier (2017) already establish single-trajectory estimation failure for a reinforced urn. Blackwell and Dubins (1962) establish predictive merging under absolute continuity, and predictive agreement with estimation failure appears in geostatistics (Zhang, 2004). The contribution here is the comparison-budget bound for adaptive allocation with observed productive inputs, its finite-horizon precision limit, and its economic interpretation.</w:t>
      </w:r>
    </w:p>
    <w:p w14:paraId="0F1580C3" w14:textId="0F7FC1CF" w:rsidR="004D3192" w:rsidRDefault="00000000">
      <w:pPr>
        <w:pStyle w:val="Heading1"/>
      </w:pPr>
      <w:r>
        <w:t>2. The Self-Reinforcing Market and Its Comparison Budget</w:t>
      </w:r>
    </w:p>
    <w:p w14:paraId="46F97801" w14:textId="77777777" w:rsidR="004D3192" w:rsidRDefault="00000000">
      <w:r>
        <w:t xml:space="preserve">There are </w:t>
      </w:r>
      <w:proofErr w:type="spellStart"/>
      <w:proofErr w:type="gramStart"/>
      <w:r>
        <w:t>n</w:t>
      </w:r>
      <w:proofErr w:type="spellEnd"/>
      <w:r>
        <w:t xml:space="preserve"> alternatives</w:t>
      </w:r>
      <w:proofErr w:type="gramEnd"/>
      <w:r>
        <w:t xml:space="preserve">. Before reward t + 1 is allocated, alternative </w:t>
      </w:r>
      <w:proofErr w:type="spellStart"/>
      <w:r>
        <w:t>i</w:t>
      </w:r>
      <w:proofErr w:type="spellEnd"/>
      <w:r>
        <w:t xml:space="preserve"> has a verified input profile xᵢₜ. The profile may include output, hours, costly effort, measurable quality, capital committed, foregone income, or exposure to loss. The profiles may change with the observed history. The contribution parameter β gives the direct loading of those inputs on reward odds. A predictable state index sᵢₜ records accumulated position, including prior sales, reputation, citations, financing, ranking, or platform placement.</w:t>
      </w:r>
    </w:p>
    <w:p w14:paraId="6B7D9CEC" w14:textId="5C303FBE" w:rsidR="004D3192" w:rsidRDefault="00000000">
      <w:r>
        <w:t>For every β, the experiment is defined on the same raw filtered space, with terminal sigma-field F∞ = σ(</w:t>
      </w:r>
      <w:r w:rsidR="001150B8" w:rsidRPr="001150B8">
        <w:rPr>
          <w:rFonts w:ascii="Cambria Math" w:hAnsi="Cambria Math" w:cs="Cambria Math"/>
        </w:rPr>
        <w:t>∪</w:t>
      </w:r>
      <w:r>
        <w:t>ₜFₜ). The initial law is common, and the input profiles and state indices are common predictable functions of the realized allocation history. All parameter-dependent randomness in the next observed allocation enters through the recipient kernel below. If additional observed variables have parameter-dependent laws, their information must be included separately.</w:t>
      </w:r>
    </w:p>
    <w:p w14:paraId="4CF9EC6A" w14:textId="77777777" w:rsidR="00C218A9" w:rsidRDefault="00000000">
      <w:pPr>
        <w:keepLines/>
      </w:pPr>
      <m:oMathPara>
        <m:oMathParaPr>
          <m:jc m:val="center"/>
        </m:oMathParaPr>
        <m:oMath>
          <m:limLow>
            <m:limLowPr>
              <m:ctrlPr>
                <w:rPr>
                  <w:rFonts w:ascii="Cambria Math" w:hAnsi="Cambria Math"/>
                </w:rPr>
              </m:ctrlPr>
            </m:limLowPr>
            <m:e>
              <m:r>
                <m:rPr>
                  <m:sty m:val="p"/>
                </m:rPr>
                <w:rPr>
                  <w:rFonts w:ascii="Cambria Math" w:hAnsi="Cambria Math"/>
                </w:rPr>
                <m:t>Pr</m:t>
              </m:r>
            </m:e>
            <m:lim>
              <m:r>
                <w:rPr>
                  <w:rFonts w:ascii="Cambria Math" w:hAnsi="Cambria Math"/>
                </w:rPr>
                <m:t>β</m:t>
              </m:r>
            </m:lim>
          </m:limLow>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it</m:t>
                      </m:r>
                    </m:sub>
                    <m:sup>
                      <m:r>
                        <m:rPr>
                          <m:sty m:val="p"/>
                        </m:rPr>
                        <w:rPr>
                          <w:rFonts w:ascii="Cambria Math" w:hAnsi="Cambria Math"/>
                        </w:rPr>
                        <m:t>⊤</m:t>
                      </m:r>
                    </m:sup>
                  </m:sSubSup>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jt</m:t>
                      </m:r>
                    </m:sub>
                    <m:sup>
                      <m:r>
                        <m:rPr>
                          <m:sty m:val="p"/>
                        </m:rPr>
                        <w:rPr>
                          <w:rFonts w:ascii="Cambria Math" w:hAnsi="Cambria Math"/>
                        </w:rPr>
                        <m:t>⊤</m:t>
                      </m:r>
                    </m:sup>
                  </m:sSubSup>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jt</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2AEF80E4" w14:textId="77777777" w:rsidR="004D3192" w:rsidRDefault="00000000">
      <w:r>
        <w:t>Verified input differences enter relative reward odds directly. The state term permits past reward to change future access.</w:t>
      </w:r>
    </w:p>
    <w:p w14:paraId="41307143" w14:textId="77777777" w:rsidR="004D3192" w:rsidRDefault="00000000">
      <w:r>
        <w:lastRenderedPageBreak/>
        <w:t>At date t, let the current leader be any alternative with the largest conditional allocation probability. Define residual contestability as the probability that the next reward goes elsewhere:</w:t>
      </w:r>
    </w:p>
    <w:p w14:paraId="7A75E749"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1836D475" w14:textId="77777777" w:rsidR="004D3192" w:rsidRDefault="00000000">
      <w:r>
        <w:t>I call the cumulative residual contestability through date T the comparison budget:</w:t>
      </w:r>
    </w:p>
    <w:p w14:paraId="0A814694"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ε</m:t>
                  </m:r>
                </m:e>
                <m:sub>
                  <m:r>
                    <w:rPr>
                      <w:rFonts w:ascii="Cambria Math" w:hAnsi="Cambria Math"/>
                    </w:rPr>
                    <m:t>t</m:t>
                  </m:r>
                </m:sub>
              </m:sSub>
            </m:e>
          </m:nary>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r>
                <w:rPr>
                  <w:rFonts w:ascii="Cambria Math" w:hAnsi="Cambria Math"/>
                </w:rPr>
                <m:t>β</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ε</m:t>
                  </m:r>
                </m:e>
                <m:sub>
                  <m:r>
                    <w:rPr>
                      <w:rFonts w:ascii="Cambria Math" w:hAnsi="Cambria Math"/>
                    </w:rPr>
                    <m:t>t</m:t>
                  </m:r>
                </m:sub>
              </m:sSub>
            </m:e>
          </m:nary>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1C7D467A" w14:textId="34CA3CD8" w:rsidR="004D3192" w:rsidRDefault="00F4480E">
      <w:r>
        <w:t>T counts transactions; B(T) sums residual contestability. A constant leader probability of 0.999 adds one unit per thousand transactions but gives an infinite budget over an infinite horizon. Concentration alone does not establish finite comparison, and an infinite budget does not guarantee identification. Empirical use requires independently justified estimates or bounds on allocation probabilities; market shares alone do not reveal them. Any additional information used to obtain such bounds belongs in the observation model.</w:t>
      </w:r>
    </w:p>
    <w:p w14:paraId="0D057E54" w14:textId="77777777" w:rsidR="004D3192" w:rsidRDefault="00000000">
      <w:r>
        <w:t>The estimand is a nonconstant functional ψ(β), such as the change in expected cumulative reward under a specified input intervention and horizon. Its causal interpretation requires the structural allocation rule and feedback dynamics to remain valid under that intervention. Realized profit, market share, or audience size is one draw from this system, not the functional itself.</w:t>
      </w:r>
    </w:p>
    <w:p w14:paraId="26CC2559" w14:textId="77777777" w:rsidR="004D3192" w:rsidRDefault="00000000">
      <w:pPr>
        <w:pStyle w:val="Heading1"/>
      </w:pPr>
      <w:r>
        <w:t>3. The Comparison-Budget Impossibility</w:t>
      </w:r>
    </w:p>
    <w:p w14:paraId="00C19017" w14:textId="76400211" w:rsidR="004D3192" w:rsidRDefault="00000000">
      <w:r>
        <w:t>In conditional logit, the score is the chosen input profile minus its conditional mean, and conditional Fisher information is their covariance. Assume a profile-diameter bound Dₓ uniform over dates and histories. The following inequality bounds information through residual contestability.</w:t>
      </w:r>
    </w:p>
    <w:p w14:paraId="1CC18425" w14:textId="77777777" w:rsidR="004D3192" w:rsidRDefault="00000000">
      <w:pPr>
        <w:keepNext/>
      </w:pPr>
      <w:r>
        <w:rPr>
          <w:b/>
        </w:rPr>
        <w:lastRenderedPageBreak/>
        <w:t xml:space="preserve">Proposition 1 - Comparison controls information. </w:t>
      </w:r>
      <w:r>
        <w:t>For every date t,</w:t>
      </w:r>
    </w:p>
    <w:p w14:paraId="46F7455A" w14:textId="77777777" w:rsidR="00C218A9" w:rsidRDefault="00000000">
      <w:pPr>
        <w:keepLines/>
      </w:pPr>
      <m:oMathPara>
        <m:oMathParaPr>
          <m:jc m:val="center"/>
        </m:oMathParaPr>
        <m:oMath>
          <m:r>
            <m:rPr>
              <m:sty m:val="p"/>
            </m:rPr>
            <w:rPr>
              <w:rFonts w:ascii="Cambria Math" w:hAnsi="Cambria Math"/>
            </w:rPr>
            <m:t>tr</m:t>
          </m:r>
          <m:sSub>
            <m:sSubPr>
              <m:ctrlPr>
                <w:rPr>
                  <w:rFonts w:ascii="Cambria Math" w:hAnsi="Cambria Math"/>
                </w:rPr>
              </m:ctrlPr>
            </m:sSubPr>
            <m:e>
              <m:r>
                <m:rPr>
                  <m:scr m:val="script"/>
                  <m:sty m:val="p"/>
                </m:rP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X</m:t>
              </m:r>
            </m:sub>
            <m:sup>
              <m:r>
                <w:rPr>
                  <w:rFonts w:ascii="Cambria Math" w:hAnsi="Cambria Math"/>
                </w:rPr>
                <m:t>2</m:t>
              </m:r>
            </m:sup>
          </m:sSubSup>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172C5EBC" w14:textId="77777777" w:rsidR="004D3192" w:rsidRDefault="00000000">
      <w:r>
        <w:t>The conditional mean minimizes expected squared distance. Comparing it with the current leader's profile proves the bound. Summing gives a bound of Dₓ²B(T) on cumulative conditional Fisher information. Residual contestability limits the information each allocation can supply; it does not guarantee informative input variation.</w:t>
      </w:r>
    </w:p>
    <w:p w14:paraId="1C3B039A" w14:textId="77777777" w:rsidR="004D3192" w:rsidRDefault="00000000">
      <w:r>
        <w:t>For two conditional recipient laws, let hₜ² denote their one-period squared Hellinger distance:</w:t>
      </w:r>
    </w:p>
    <w:p w14:paraId="1F05F25B" w14:textId="77777777" w:rsidR="00C218A9" w:rsidRDefault="00000000">
      <w:pPr>
        <w:keepLines/>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e>
                          </m:d>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r>
                                <m:rPr>
                                  <m:sty m:val="p"/>
                                </m:rPr>
                                <w:rPr>
                                  <w:rFonts w:ascii="Cambria Math" w:hAnsi="Cambria Math"/>
                                </w:rPr>
                                <m:t>'</m:t>
                              </m:r>
                            </m:e>
                          </m:d>
                        </m:e>
                      </m:rad>
                    </m:e>
                  </m:d>
                </m:e>
                <m:sup>
                  <m:r>
                    <w:rPr>
                      <w:rFonts w:ascii="Cambria Math" w:hAnsi="Cambria Math"/>
                    </w:rPr>
                    <m:t>2</m:t>
                  </m:r>
                </m:sup>
              </m:sSup>
            </m:e>
          </m:nary>
          <m:r>
            <m:rPr>
              <m:sty m:val="p"/>
            </m:rPr>
            <w:rPr>
              <w:rFonts w:ascii="Cambria Math" w:hAnsi="Cambria Math"/>
            </w:rPr>
            <m:t>.</m:t>
          </m:r>
        </m:oMath>
      </m:oMathPara>
    </w:p>
    <w:p w14:paraId="422F4481" w14:textId="77777777" w:rsidR="004D3192" w:rsidRDefault="00000000">
      <w:r>
        <w:t>Assume local equivalence, meaning that the one-period laws have the same support after every history. Also assume comparison-dominated separation: for each β and β′ there is a finite constant such that</w:t>
      </w:r>
    </w:p>
    <w:p w14:paraId="2A63F297" w14:textId="77777777" w:rsidR="00C218A9" w:rsidRDefault="00000000">
      <w:pPr>
        <w:keepLines/>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sub>
          </m:sSub>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oMath>
      </m:oMathPara>
    </w:p>
    <w:p w14:paraId="575E49A5" w14:textId="77777777" w:rsidR="004D3192" w:rsidRDefault="00000000">
      <w:r>
        <w:t>for every date and history, also after reversing the parameters. Conditional logit with uniformly bounded profile diameter satisfies this condition (Appendix A). Bounded Θ additionally gives the uniform coefficient in (6); state indices may be unbounded.</w:t>
      </w:r>
    </w:p>
    <w:p w14:paraId="573C2105" w14:textId="77777777" w:rsidR="004D3192" w:rsidRDefault="00000000">
      <w:pPr>
        <w:keepNext/>
      </w:pPr>
      <w:r>
        <w:rPr>
          <w:b/>
        </w:rPr>
        <w:t xml:space="preserve">Theorem 1 - Finite comparison-budget impossibility. </w:t>
      </w:r>
      <w:r>
        <w:t>Suppose the design is common and predictable, local equivalence and comparison-dominated separation hold, and</w:t>
      </w:r>
    </w:p>
    <w:p w14:paraId="38CBB41A"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r>
                <w:rPr>
                  <w:rFonts w:ascii="Cambria Math" w:hAnsi="Cambria Math"/>
                </w:rPr>
                <m:t>β</m:t>
              </m:r>
            </m:e>
          </m:d>
          <m:r>
            <m:rPr>
              <m:sty m:val="p"/>
            </m:rPr>
            <w:rPr>
              <w:rFonts w:ascii="Cambria Math" w:hAnsi="Cambria Math"/>
            </w:rPr>
            <m:t>&lt;∞</m:t>
          </m:r>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r>
            <m:rPr>
              <m:nor/>
            </m:rPr>
            <m:t>-almost surely</m:t>
          </m:r>
          <m:r>
            <w:rPr>
              <w:rFonts w:ascii="Cambria Math" w:hAnsi="Cambria Math"/>
            </w:rPr>
            <m:t> </m:t>
          </m:r>
          <m:r>
            <m:rPr>
              <m:nor/>
            </m:rPr>
            <m:t xml:space="preserve">for every </m:t>
          </m:r>
          <m:r>
            <w:rPr>
              <w:rFonts w:ascii="Cambria Math" w:hAnsi="Cambria Math"/>
            </w:rPr>
            <m:t>β</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p>
    <w:p w14:paraId="79C929E0" w14:textId="03C0E742" w:rsidR="004D3192" w:rsidRDefault="00000000">
      <w:pPr>
        <w:ind w:left="360" w:hanging="360"/>
      </w:pPr>
      <w:r>
        <w:lastRenderedPageBreak/>
        <w:t xml:space="preserve">1. For every β, β′ </w:t>
      </w:r>
      <w:r w:rsidR="001150B8" w:rsidRPr="001150B8">
        <w:rPr>
          <w:rFonts w:ascii="Cambria Math" w:hAnsi="Cambria Math" w:cs="Cambria Math"/>
        </w:rPr>
        <w:t>∈</w:t>
      </w:r>
      <w:r w:rsidR="001150B8">
        <w:rPr>
          <w:rFonts w:ascii="Cambria Math" w:hAnsi="Cambria Math" w:cs="Cambria Math"/>
        </w:rPr>
        <w:t xml:space="preserve"> </w:t>
      </w:r>
      <w:r w:rsidR="001150B8" w:rsidRPr="001150B8">
        <w:t>Θ</w:t>
      </w:r>
      <w:r>
        <w:t>, the complete single-history laws are mutually absolutely continuous on F∞.</w:t>
      </w:r>
    </w:p>
    <w:p w14:paraId="35586DD0" w14:textId="77777777" w:rsidR="004D3192" w:rsidRDefault="00000000">
      <w:pPr>
        <w:ind w:left="360" w:hanging="360"/>
      </w:pPr>
      <w:r>
        <w:t>2. No sequence of estimators based on one realized history can be consistent at every β for any nonconstant contribution functional.</w:t>
      </w:r>
    </w:p>
    <w:p w14:paraId="1C798CB9" w14:textId="77777777" w:rsidR="004D3192" w:rsidRDefault="00000000">
      <w:pPr>
        <w:ind w:left="360" w:hanging="360"/>
      </w:pPr>
      <w:r>
        <w:t>3. No sequence of tests can distinguish two contribution parameters with both type-I and type-II errors converging to zero.</w:t>
      </w:r>
    </w:p>
    <w:p w14:paraId="7E18459B" w14:textId="77777777" w:rsidR="004D3192" w:rsidRDefault="00000000">
      <w:pPr>
        <w:ind w:left="360" w:hanging="360"/>
      </w:pPr>
      <w:r>
        <w:t>4. For a nonconstant contribution functional, no confidence sets can have coverage tending to one and diameter tending to zero in probability at every β.</w:t>
      </w:r>
    </w:p>
    <w:p w14:paraId="0433588D" w14:textId="77777777" w:rsidR="004D3192" w:rsidRDefault="00000000">
      <w:r>
        <w:rPr>
          <w:b/>
        </w:rPr>
        <w:t>Proof.</w:t>
      </w:r>
      <w:r>
        <w:t xml:space="preserve"> Finite comparison makes the cumulative conditional Hellinger process finite. The filtered-space Hellinger criterion gives absolute continuity of the law under β with respect to the law under β′. Reversing the parameters gives equivalence (Jacod and Shiryaev, 2003; Gabriyelyan, 2011). Convergence to a constant in probability transfers between equivalent laws, so one estimator cannot converge to different contribution values. Testing and confidence sets use the same argument. Appendix B supplies the details.</w:t>
      </w:r>
    </w:p>
    <w:p w14:paraId="40D8DBD6" w14:textId="77777777" w:rsidR="004D3192" w:rsidRDefault="00000000">
      <w:pPr>
        <w:keepNext/>
        <w:keepLines/>
      </w:pPr>
      <w:r>
        <w:rPr>
          <w:b/>
        </w:rPr>
        <w:t>Corollary 1 - Predictive merging.</w:t>
      </w:r>
      <w:r>
        <w:t xml:space="preserve"> On the canonical allocation-history space, under Theorem 1, the conditional laws of the entire future allocation sequence given </w:t>
      </w:r>
      <m:oMath>
        <m:sSub>
          <m:e>
            <m:r>
              <w:rPr>
                <w:rFonts w:ascii="Cambria Math" w:hAnsi="Cambria Math"/>
              </w:rPr>
              <m:t>F</m:t>
            </m:r>
          </m:e>
          <m:sub>
            <m:r>
              <w:rPr>
                <w:rFonts w:ascii="Cambria Math" w:hAnsi="Cambria Math"/>
              </w:rPr>
              <m:t>t</m:t>
            </m:r>
          </m:sub>
        </m:sSub>
      </m:oMath>
      <w:r>
        <w:t xml:space="preserve"> merge in total variation as t grows, almost surely under both laws for each fixed parameter pair. Forecasts agree while universal consistent attribution remains impossible.</w:t>
      </w:r>
    </w:p>
    <w:p w14:paraId="40D8DBD6" w14:textId="77777777" w:rsidR="004D3192" w:rsidRDefault="00000000">
      <w:pPr>
        <w:keepNext w:val="0"/>
        <w:keepLines/>
      </w:pPr>
      <w:r>
        <w:rPr>
          <w:b/>
        </w:rPr>
        <w:t>Proof.</w:t>
      </w:r>
      <w:r>
        <w:t xml:space="preserve"> The finite-alphabet history space admits regular conditional future laws. Theorem 1 gives </w:t>
      </w:r>
      <m:oMath>
        <m:sSub>
          <m:e>
            <m:r>
              <w:rPr>
                <w:rFonts w:ascii="Cambria Math" w:hAnsi="Cambria Math"/>
              </w:rPr>
              <m:t>P</m:t>
            </m:r>
          </m:e>
          <m:sub>
            <m:r>
              <w:rPr>
                <w:rFonts w:ascii="Cambria Math" w:hAnsi="Cambria Math"/>
              </w:rPr>
              <m:t>β</m:t>
            </m:r>
          </m:sub>
        </m:sSub>
        <m:r>
          <w:rPr>
            <w:rFonts w:ascii="Cambria Math" w:hAnsi="Cambria Math"/>
          </w:rPr>
          <m:t>∼</m:t>
        </m:r>
        <m:sSub>
          <m:e>
            <m:r>
              <w:rPr>
                <w:rFonts w:ascii="Cambria Math" w:hAnsi="Cambria Math"/>
              </w:rPr>
              <m:t>P</m:t>
            </m:r>
          </m:e>
          <m:sub>
            <m:r>
              <w:rPr>
                <w:rFonts w:ascii="Cambria Math" w:hAnsi="Cambria Math"/>
              </w:rPr>
              <m:t>β′</m:t>
            </m:r>
          </m:sub>
        </m:sSub>
      </m:oMath>
      <w:r>
        <w:t>. Blackwell–Dubins (1962) gives merging under one law; equivalence transfers the null exception to the other.</w:t>
      </w:r>
    </w:p>
    <w:p w14:paraId="40D8DBD6" w14:textId="77777777" w:rsidR="004D3192" w:rsidRDefault="00000000">
      <w:r>
        <w:t>Predictive merging alone permits parameter learning: equivalent prior mixtures over Bernoulli biases can merge while sample means recover bias. Distinct fixed biases induce singular path laws. Theorem 1 concerns equivalence between fixed-parameter laws. Independent replications can support consistency under Appendix E.1’s identification and regularity conditions.</w:t>
      </w:r>
    </w:p>
    <w:p w14:paraId="5A766693" w14:textId="77777777" w:rsidR="004D3192" w:rsidRDefault="00000000">
      <w:r>
        <w:t>For bounded Θ, conditional logit also gives a finite-horizon result:</w:t>
      </w:r>
    </w:p>
    <w:p w14:paraId="0B49FA56"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m:rPr>
                      <m:scr m:val="double-struck"/>
                      <m:sty m:val="p"/>
                    </m:rPr>
                    <w:rPr>
                      <w:rFonts w:ascii="Cambria Math" w:hAnsi="Cambria Math"/>
                    </w:rPr>
                    <m:t>P</m:t>
                  </m:r>
                </m:e>
                <m:sub>
                  <m:r>
                    <w:rPr>
                      <w:rFonts w:ascii="Cambria Math" w:hAnsi="Cambria Math"/>
                    </w:rPr>
                    <m:t>β</m:t>
                  </m:r>
                </m:sub>
                <m:sup>
                  <m:r>
                    <w:rPr>
                      <w:rFonts w:ascii="Cambria Math" w:hAnsi="Cambria Math"/>
                    </w:rPr>
                    <m:t>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up>
                  <m:r>
                    <w:rPr>
                      <w:rFonts w:ascii="Cambria Math" w:hAnsi="Cambria Math"/>
                    </w:rPr>
                    <m:t>T</m:t>
                  </m:r>
                </m:sup>
              </m:sSubSup>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r>
                <m:rPr>
                  <m:sty m:val="p"/>
                </m:rPr>
                <w:rPr>
                  <w:rFonts w:ascii="Cambria Math" w:hAnsi="Cambria Math"/>
                </w:rPr>
                <m:t>,</m:t>
              </m:r>
              <m:r>
                <w:rPr>
                  <w:rFonts w:ascii="Cambria Math" w:hAnsi="Cambria Math"/>
                </w:rPr>
                <m:t>Θ</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cr m:val="double-struck"/>
                  <m:sty m:val="p"/>
                </m:rPr>
                <w:rPr>
                  <w:rFonts w:ascii="Cambria Math" w:hAnsi="Cambria Math"/>
                </w:rPr>
                <m:t>E</m:t>
              </m:r>
            </m:e>
            <m:sub>
              <m:r>
                <w:rPr>
                  <w:rFonts w:ascii="Cambria Math" w:hAnsi="Cambria Math"/>
                </w:rPr>
                <m:t>β</m:t>
              </m:r>
            </m:sub>
          </m:sSub>
          <m:sSub>
            <m:sSubPr>
              <m:ctrlPr>
                <w:rPr>
                  <w:rFonts w:ascii="Cambria Math" w:hAnsi="Cambria Math"/>
                </w:rPr>
              </m:ctrlPr>
            </m:sSubPr>
            <m:e>
              <m: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p>
    <w:p w14:paraId="30155C0E" w14:textId="77777777" w:rsidR="004D3192" w:rsidRDefault="00000000">
      <w:r>
        <w:t xml:space="preserve">For differentiable scalar functionals with a nonzero directional derivative, Le Cam’s bound gives a local two-point minimax lower bound. Logarithmic expected-budget growth gives separation of order </w:t>
      </w:r>
      <m:oMath>
        <m:sSup>
          <m:e>
            <m:r>
              <w:rPr>
                <w:rFonts w:ascii="Cambria Math" w:hAnsi="Cambria Math"/>
              </w:rPr>
              <m:t>(</m:t>
            </m:r>
            <m:r>
              <m:rPr>
                <m:sty m:val="p"/>
              </m:rPr>
              <w:rPr>
                <w:rFonts w:ascii="Cambria Math" w:hAnsi="Cambria Math"/>
              </w:rPr>
              <m:t>log</m:t>
            </m:r>
            <m:r>
              <w:rPr>
                <w:rFonts w:ascii="Cambria Math" w:hAnsi="Cambria Math"/>
              </w:rPr>
              <m:t>T)</m:t>
            </m:r>
          </m:e>
          <m:sup>
            <m:r>
              <w:rPr>
                <w:rFonts w:ascii="Cambria Math" w:hAnsi="Cambria Math"/>
              </w:rPr>
              <m:t>−1/2</m:t>
            </m:r>
          </m:sup>
        </m:sSup>
      </m:oMath>
      <w:r>
        <w:t>, under Appendix C’s conditions. This is an information limit, not an attainable or pointwise rate. The almost-sure budget condition (5) need not imply a finite expected budget.</w:t>
      </w:r>
    </w:p>
    <w:p w14:paraId="3E79625F" w14:textId="77777777" w:rsidR="004D3192" w:rsidRDefault="00000000">
      <w:r>
        <w:t xml:space="preserve">Strong reinforcement supplies a sharp primitive case. In a reinforced market, past reward enters through a positive feedback function </w:t>
      </w:r>
      <w:proofErr w:type="gramStart"/>
      <w:r>
        <w:t>g(</w:t>
      </w:r>
      <w:proofErr w:type="gramEnd"/>
      <w:r>
        <w:t>a + Nᵢ(t)). If</w:t>
      </w:r>
    </w:p>
    <w:p w14:paraId="51BFB5D2" w14:textId="77777777" w:rsidR="00C218A9" w:rsidRDefault="00000000">
      <w:pPr>
        <w:keepLines/>
      </w:pPr>
      <m:oMathPara>
        <m:oMathParaPr>
          <m:jc m:val="center"/>
        </m:oMathParaPr>
        <m:oMath>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m</m:t>
                      </m:r>
                    </m:e>
                  </m:d>
                </m:den>
              </m:f>
            </m:e>
          </m:nary>
          <m:r>
            <m:rPr>
              <m:sty m:val="p"/>
            </m:rPr>
            <w:rPr>
              <w:rFonts w:ascii="Cambria Math" w:hAnsi="Cambria Math"/>
            </w:rPr>
            <m:t>&lt;∞.</m:t>
          </m:r>
          <m:r>
            <w:rPr>
              <w:rFonts w:ascii="Cambria Math" w:hAnsi="Cambria Math"/>
            </w:rPr>
            <m:t>  </m:t>
          </m:r>
          <m:d>
            <m:dPr>
              <m:ctrlPr>
                <w:rPr>
                  <w:rFonts w:ascii="Cambria Math" w:hAnsi="Cambria Math"/>
                </w:rPr>
              </m:ctrlPr>
            </m:dPr>
            <m:e>
              <m:r>
                <w:rPr>
                  <w:rFonts w:ascii="Cambria Math" w:hAnsi="Cambria Math"/>
                </w:rPr>
                <m:t>7</m:t>
              </m:r>
            </m:e>
          </m:d>
        </m:oMath>
      </m:oMathPara>
    </w:p>
    <w:p w14:paraId="42AF14ED" w14:textId="77777777" w:rsidR="004D3192" w:rsidRDefault="00000000">
      <w:proofErr w:type="gramStart"/>
      <w:r>
        <w:t>then</w:t>
      </w:r>
      <w:proofErr w:type="gramEnd"/>
      <w:r>
        <w:t xml:space="preserve"> an exponential-clock construction yields a finite random time after which one alternative receives every subsequent reward (Oliveira, 2009; Gottfried and </w:t>
      </w:r>
      <w:proofErr w:type="spellStart"/>
      <w:r>
        <w:t>Grosskinsky</w:t>
      </w:r>
      <w:proofErr w:type="spellEnd"/>
      <w:r>
        <w:t xml:space="preserve">, 2024). The remaining probability outside the winner is summable, so B∞ is finite and Theorem 1 applies. For polynomial feedback with </w:t>
      </w:r>
      <w:proofErr w:type="gramStart"/>
      <w:r>
        <w:t>exponent ρ</w:t>
      </w:r>
      <w:proofErr w:type="gramEnd"/>
      <w:r>
        <w:t xml:space="preserve">, this is the </w:t>
      </w:r>
      <w:proofErr w:type="spellStart"/>
      <w:r>
        <w:t>superlinear</w:t>
      </w:r>
      <w:proofErr w:type="spellEnd"/>
      <w:r>
        <w:t xml:space="preserve"> regime ρ &gt; 1. Linear preferential attachment may generate power laws without satisfying the exact impossibility condition. The Technical Appendix gives both the </w:t>
      </w:r>
      <w:proofErr w:type="gramStart"/>
      <w:r>
        <w:t>exponential-clock</w:t>
      </w:r>
      <w:proofErr w:type="gramEnd"/>
      <w:r>
        <w:t xml:space="preserve"> proof and an independent </w:t>
      </w:r>
      <w:proofErr w:type="gramStart"/>
      <w:r>
        <w:t>common-support proof</w:t>
      </w:r>
      <w:proofErr w:type="gramEnd"/>
      <w:r>
        <w:t>.</w:t>
      </w:r>
    </w:p>
    <w:p w14:paraId="51C2A78E" w14:textId="77777777" w:rsidR="004D3192" w:rsidRDefault="00000000">
      <w:r>
        <w:t>For fixed input profiles, latent initial position creates a separate problem. Let λᵢ summarize inherited visibility, distribution access, sponsorship, or reputation. Allocation becomes</w:t>
      </w:r>
    </w:p>
    <w:p w14:paraId="33A2DC29"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λ</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t>
                      </m:r>
                    </m:sup>
                  </m:sSubSup>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jt</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p>
    <w:p w14:paraId="09E4E81D" w14:textId="77777777" w:rsidR="004D3192" w:rsidRDefault="00000000">
      <w:r>
        <w:t>For any admissible vector d, transform the parameters as</w:t>
      </w:r>
    </w:p>
    <w:p w14:paraId="2DA9647F" w14:textId="77777777" w:rsidR="00C218A9" w:rsidRDefault="00000000">
      <w:pPr>
        <w:keepLines/>
      </w:pPr>
      <m:oMathPara>
        <m:oMathParaPr>
          <m:jc m:val="center"/>
        </m:oMathParaPr>
        <m:oMath>
          <m:sSup>
            <m:sSupPr>
              <m:ctrlPr>
                <w:rPr>
                  <w:rFonts w:ascii="Cambria Math" w:hAnsi="Cambria Math"/>
                </w:rPr>
              </m:ctrlPr>
            </m:sSupPr>
            <m:e>
              <m:r>
                <w:rPr>
                  <w:rFonts w:ascii="Cambria Math" w:hAnsi="Cambria Math"/>
                </w:rPr>
                <m:t>β</m:t>
              </m:r>
            </m:e>
            <m:sup>
              <m:d>
                <m:dPr>
                  <m:ctrlPr>
                    <w:rPr>
                      <w:rFonts w:ascii="Cambria Math" w:hAnsi="Cambria Math"/>
                    </w:rPr>
                  </m:ctrlPr>
                </m:dPr>
                <m:e>
                  <m:r>
                    <w:rPr>
                      <w:rFonts w:ascii="Cambria Math" w:hAnsi="Cambria Math"/>
                    </w:rPr>
                    <m:t>d</m:t>
                  </m:r>
                </m:e>
              </m:d>
            </m:sup>
          </m:sSup>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rPr>
                  </m:ctrlPr>
                </m:dPr>
                <m:e>
                  <m:r>
                    <w:rPr>
                      <w:rFonts w:ascii="Cambria Math" w:hAnsi="Cambria Math"/>
                    </w:rPr>
                    <m:t>d</m:t>
                  </m:r>
                </m:e>
              </m:d>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p>
    <w:p w14:paraId="56812C4F" w14:textId="77777777" w:rsidR="004D3192" w:rsidRDefault="00000000">
      <w:r>
        <w:lastRenderedPageBreak/>
        <w:t>The composite index xᵢᵀβ + λᵢ is unchanged, so every observable allocation probability is unchanged. Contribution and position are then exactly observationally equivalent. The single-history theorem and this attribution gauge are distinct: the first is a learning impossibility even with observed position; the second is point non-identification when position is latent.</w:t>
      </w:r>
    </w:p>
    <w:p w14:paraId="348DBA2D" w14:textId="77777777" w:rsidR="004D3192" w:rsidRDefault="00000000">
      <w:pPr>
        <w:pStyle w:val="Heading1"/>
      </w:pPr>
      <w:r>
        <w:t>4. Shadow Futures and the Self-Reinforcing Market</w:t>
      </w:r>
    </w:p>
    <w:p w14:paraId="3C2C2445" w14:textId="77777777" w:rsidR="004D3192" w:rsidRDefault="00000000">
      <w:r>
        <w:t>A shadow future is a possible alternative finite-horizon allocation record under the same structural parameter, initial state, and predictable input and state rules, giving an agent a different reward. Adaptive profiles may differ across records because the rules react to past allocations. These histories supply comparisons needed to estimate model-defined intervention effects.</w:t>
      </w:r>
    </w:p>
    <w:p w14:paraId="04782F54" w14:textId="77777777" w:rsidR="004D3192" w:rsidRDefault="00000000">
      <w:r>
        <w:t>Labor and entrepreneurial markets can combine real effort, repeated entry, and skewed rewards. A creator produces a video, a contractor submits a proposal, and a founder builds a company. Each action can improve success probabilities. The allocation channel can then turn early outcomes into future exposure: recommendations train later recommendations, first customers help attract later customers, and citations produce visibility.</w:t>
      </w:r>
    </w:p>
    <w:p w14:paraId="11BC6F34" w14:textId="77777777" w:rsidR="004D3192" w:rsidRDefault="00000000">
      <w:r>
        <w:t>The winner may have contributed more. Under the theorem’s conditions, one history cannot consistently recover how much more at every admissible parameter. Risk-bearing may justify prospective premiums and large prizes to induce experimentation (Kerr, Nanda, and Rhodes-Kropf, 2014). A realized jackpot need not be a sufficient statistic for causal contribution. Incentives and retrospective attribution are different questions.</w:t>
      </w:r>
    </w:p>
    <w:p w14:paraId="57B999BC" w14:textId="77777777" w:rsidR="004D3192" w:rsidRDefault="00000000">
      <w:r>
        <w:t xml:space="preserve">This motivates a distinction between economic and epistemic monopoly. Economic monopoly concerns durable control over allocation conditions such as price, access, compatibility, or a route to market. Epistemic monopoly concerns control over the production of the comparison paths needed to explain allocation. The phrase has prior </w:t>
      </w:r>
      <w:proofErr w:type="gramStart"/>
      <w:r>
        <w:t>uses</w:t>
      </w:r>
      <w:proofErr w:type="gramEnd"/>
      <w:r>
        <w:t xml:space="preserve"> in knowledge governance (Meghani, 2021); here it is defined narrowly, relative to a stated contribution </w:t>
      </w:r>
      <w:proofErr w:type="spellStart"/>
      <w:r>
        <w:t>estimand</w:t>
      </w:r>
      <w:proofErr w:type="spellEnd"/>
      <w:r>
        <w:t xml:space="preserve"> and information set. The two can coincide, but neither implies the other. Thousands of nominal sellers may share one ranking and one distribution history. A regulated monopoly could preserve learning through randomized pilots, independent evaluation, and open experimentation.</w:t>
      </w:r>
    </w:p>
    <w:p w14:paraId="064B9DD6" w14:textId="77777777" w:rsidR="004D3192" w:rsidRDefault="00000000">
      <w:r>
        <w:t>Competition has an attribution role alongside its price and discovery roles (Hayek, 2002). Separate channels can supply independent replications of a common informative allocation experiment under Appendix E.1’s conditions. Portability, multihoming, interoperability, and randomized exposure may support these conditions. Adaptive experiments designed for policy choice illustrate the role of allocation in learning (Kasy and Sautmann, 2021). Institutional plurality alone is insufficient.</w:t>
      </w:r>
    </w:p>
    <w:p w14:paraId="1DF2DABC" w14:textId="77777777" w:rsidR="004D3192" w:rsidRDefault="00000000">
      <w:r>
        <w:t xml:space="preserve">The Music Lab experiments give a concrete analogue. The same songs were placed into parallel cultural markets, and stronger social influence increased inequality and cross-market unpredictability while quality remained only partially </w:t>
      </w:r>
      <w:proofErr w:type="gramStart"/>
      <w:r>
        <w:t>determinative</w:t>
      </w:r>
      <w:proofErr w:type="gramEnd"/>
      <w:r>
        <w:t xml:space="preserve"> (</w:t>
      </w:r>
      <w:proofErr w:type="spellStart"/>
      <w:r>
        <w:t>Salganik</w:t>
      </w:r>
      <w:proofErr w:type="spellEnd"/>
      <w:r>
        <w:t>, Dodds, and Watts, 2006). The experiment does not prove the theorem for labor or entrepreneurship. It shows what a single market deletes: the terminal outcomes the same object would have occupied in other reinforced worlds.</w:t>
      </w:r>
    </w:p>
    <w:p w14:paraId="08BE166C" w14:textId="00BFE775" w:rsidR="004D3192" w:rsidRDefault="00000000">
      <w:pPr>
        <w:pStyle w:val="Heading1"/>
      </w:pPr>
      <w:r>
        <w:lastRenderedPageBreak/>
        <w:t xml:space="preserve">5. Competition Policy and </w:t>
      </w:r>
      <w:r w:rsidR="00CB3674">
        <w:t>the Limits of Attribution</w:t>
      </w:r>
    </w:p>
    <w:p w14:paraId="7F6EE294" w14:textId="77777777" w:rsidR="004D3192" w:rsidRDefault="00000000">
      <w:r>
        <w:t>The theorem separates measurement from intervention. Audits, credentials, reputation scores, and cryptographic proofs can reduce fraud or hidden action. They do not reproduce allocations under another early sequence. Verification establishes execution; attribution requires informative comparison.</w:t>
      </w:r>
    </w:p>
    <w:p w14:paraId="5BF7548E" w14:textId="77777777" w:rsidR="004D3192" w:rsidRDefault="00000000">
      <w:r>
        <w:t xml:space="preserve">Competition policy can therefore be understood partly as evidence policy. A merger or platform design may reduce the number or independence of routes through which alternatives receive exposure and accumulate records. Two channels that look duplicative in a static cost calculation may be informational complements. Combining them can save fixed costs while eliminating a control group. The theorem does not make every merger harmful, and the welfare effect depends on decision errors and the cost of preserving independent channels. It identifies a </w:t>
      </w:r>
      <w:proofErr w:type="gramStart"/>
      <w:r>
        <w:t>question ordinary concentration measures</w:t>
      </w:r>
      <w:proofErr w:type="gramEnd"/>
      <w:r>
        <w:t xml:space="preserve"> can miss: how many genuinely independent histories remain available?</w:t>
      </w:r>
    </w:p>
    <w:p w14:paraId="3A73B11D" w14:textId="77777777" w:rsidR="004D3192" w:rsidRDefault="00000000">
      <w:r>
        <w:t xml:space="preserve">Public-economics models often distinguish productive returns from rent-seeking, zero-sum bargaining, or economic rents (Piketty, Saez, and </w:t>
      </w:r>
      <w:proofErr w:type="spellStart"/>
      <w:r>
        <w:t>Stantcheva</w:t>
      </w:r>
      <w:proofErr w:type="spellEnd"/>
      <w:r>
        <w:t>, 2014; Rothschild and Scheuer, 2016). These models do not generally require tax authorities to recover each individual’s exact causal contribution. The result here places a limit on a stronger benchmark: a tax rule that seeks to separate the contribution-attributable and position-attributable components of each realized reward. If observationally equivalent economies assign different contribution values to the same observable reward, no rule based on that record can implement the benchmark in both.</w:t>
      </w:r>
    </w:p>
    <w:p w14:paraId="25CCD7FD" w14:textId="77777777" w:rsidR="004D3192" w:rsidRDefault="00000000">
      <w:r>
        <w:t xml:space="preserve">This does not invalidate progressive taxation, excess-profit taxes, or optimal-tax rules designed under uncertainty. It limits the stronger claim that the realized market record permits an exact ex </w:t>
      </w:r>
      <w:r>
        <w:lastRenderedPageBreak/>
        <w:t>post division between earned contribution and positional advantage. Tax policy must therefore rely on observable proxies, identified sets, or rules that do not require this decomposition.</w:t>
      </w:r>
    </w:p>
    <w:p w14:paraId="52DACE6F" w14:textId="77777777" w:rsidR="004D3192" w:rsidRDefault="00000000">
      <w:pPr>
        <w:pStyle w:val="Heading1"/>
      </w:pPr>
      <w:r>
        <w:t>6. Conclusion</w:t>
      </w:r>
    </w:p>
    <w:p w14:paraId="41C9F784" w14:textId="244B49FD" w:rsidR="00C55F58" w:rsidRDefault="00C55F58" w:rsidP="00C55F58">
      <w:r>
        <w:t xml:space="preserve">A market can observe productive </w:t>
      </w:r>
      <w:proofErr w:type="gramStart"/>
      <w:r>
        <w:t>inputs</w:t>
      </w:r>
      <w:proofErr w:type="gramEnd"/>
      <w:r>
        <w:t>, reward them directly, and still fail to reveal how much they contributed to the outcome. The failure arises when reward changes future exposure. As the allocation process reinforces its own history, the realized record grows while the comparisons needed for attribution disappear.</w:t>
      </w:r>
    </w:p>
    <w:p w14:paraId="56F6EAA7" w14:textId="5784F7E4" w:rsidR="00C55F58" w:rsidRDefault="00C55F58" w:rsidP="00C55F58">
      <w:r>
        <w:t>The comparison budget links residual contestability to statistical information. Under Theorem 1’s conditions, a finite budget yields equivalent history laws and prevents universal consistent attribution, asymptotically perfect testing, and shrinking confidence sets with coverage tending to one everywhere. Conditional forecasts nevertheless merge: predictive agreement need not recover input effects. Strong reinforcement supplies one sufficient case; fixed inputs with latent position create a distinct failure of point identification.</w:t>
      </w:r>
    </w:p>
    <w:p w14:paraId="5994F96F" w14:textId="77777777" w:rsidR="00C55F58" w:rsidRDefault="00C55F58" w:rsidP="00C55F58">
      <w:r>
        <w:t>Productive inputs may be public, verified, and causally effective. The missing comparisons are alternative allocation histories: shadow futures. Independent, informative routes through a market can preserve some of these comparisons, while concentration can eliminate them without concealing conventional data.</w:t>
      </w:r>
    </w:p>
    <w:p w14:paraId="42E81F37" w14:textId="701CF17C" w:rsidR="004D3192" w:rsidRDefault="00C55F58" w:rsidP="00C55F58">
      <w:r>
        <w:t>Competition policy should account for lost comparison opportunities; tax policy should avoid requiring an exact contribution-position decomposition of realized rewards. A self-reinforcing market may continue allocating reward after it has ceased producing enough evidence to explain that allocation.</w:t>
      </w:r>
    </w:p>
    <w:p w14:paraId="5E024E74" w14:textId="77777777" w:rsidR="004D3192" w:rsidRDefault="00000000">
      <w:pPr>
        <w:pStyle w:val="Heading1"/>
      </w:pPr>
      <w:r>
        <w:t>References</w:t>
      </w:r>
    </w:p>
    <w:p w14:paraId="1988B14D" w14:textId="77777777" w:rsidR="004D3192" w:rsidRDefault="00000000">
      <w:r>
        <w:t>Akerlof, G. A. (1970). The market for “lemons”: Quality uncertainty and the market mechanism. The Quarterly Journal of Economics, 84(3), 488-500.</w:t>
      </w:r>
    </w:p>
    <w:p w14:paraId="2C06A5CC" w14:textId="77777777" w:rsidR="004D3192" w:rsidRDefault="00000000">
      <w:r>
        <w:t>Arthur, W. B. (1989). Competing technologies, increasing returns, and lock-in by historical events. The Economic Journal, 99(394), 116-131.</w:t>
      </w:r>
    </w:p>
    <w:p w14:paraId="5163D7E5" w14:textId="6D1469BD" w:rsidR="00A6600D" w:rsidRDefault="00A6600D">
      <w:r w:rsidRPr="00A6600D">
        <w:t xml:space="preserve">Bar-Yam, Y. (2016). From big data to important information. </w:t>
      </w:r>
      <w:r w:rsidRPr="00A6600D">
        <w:rPr>
          <w:i/>
          <w:iCs/>
        </w:rPr>
        <w:t>Complexity</w:t>
      </w:r>
      <w:r w:rsidRPr="00A6600D">
        <w:t>, 21(S2), 73–98. doi:10.1002/cplx.21785.</w:t>
      </w:r>
    </w:p>
    <w:p w14:paraId="00602243" w14:textId="77777777" w:rsidR="004D3192" w:rsidRDefault="00000000">
      <w:r>
        <w:t>Blackwell, D., and Dubins, L. (1962). Merging of opinions with increasing information. The Annals of Mathematical Statistics, 33(3), 882-886. doi:10.1214/aoms/1177704456.</w:t>
      </w:r>
    </w:p>
    <w:p w14:paraId="16136040" w14:textId="77777777" w:rsidR="004D3192" w:rsidRDefault="00000000">
      <w:r>
        <w:t>David, P. A. (1985). Clio and the economics of QWERTY. American Economic Review, 75(2), 332-337.</w:t>
      </w:r>
    </w:p>
    <w:p w14:paraId="00602243" w14:textId="77777777" w:rsidR="004D3192" w:rsidRDefault="00000000">
      <w:proofErr w:type="spellStart"/>
      <w:r>
        <w:t>Gabriyelyan</w:t>
      </w:r>
      <w:proofErr w:type="spellEnd"/>
      <w:r>
        <w:t>, S. S. (2011). Absolute continuity and singularity of two probability measures on a filtered space. Journal of Theoretical Probability, 24(3), 595-614.</w:t>
      </w:r>
    </w:p>
    <w:p w14:paraId="030F21DC" w14:textId="77777777" w:rsidR="004D3192" w:rsidRDefault="00000000">
      <w:r>
        <w:t xml:space="preserve">Gottfried, T., and Grosskinsky, S. (2024). </w:t>
      </w:r>
      <w:proofErr w:type="spellStart"/>
      <w:r>
        <w:t>Asymptotics</w:t>
      </w:r>
      <w:proofErr w:type="spellEnd"/>
      <w:r>
        <w:t xml:space="preserve"> of generalized Pólya urns with non-linear feedback. Electronic Journal of Probability, 29, 1-56.</w:t>
      </w:r>
    </w:p>
    <w:p w14:paraId="7692AD44" w14:textId="77777777" w:rsidR="004D3192" w:rsidRDefault="00000000">
      <w:r>
        <w:t>Hayek, F. A. (2002). Competition as a discovery procedure. The Quarterly Journal of Austrian Economics, 5(3), 9-23.</w:t>
      </w:r>
    </w:p>
    <w:p w14:paraId="740E08B1" w14:textId="77777777" w:rsidR="004D3192" w:rsidRDefault="00000000">
      <w:proofErr w:type="spellStart"/>
      <w:r>
        <w:t>Jacod</w:t>
      </w:r>
      <w:proofErr w:type="spellEnd"/>
      <w:r>
        <w:t>, J., and Shiryaev, A. N. (2003). Limit Theorems for Stochastic Processes (2nd ed.). Springer.</w:t>
      </w:r>
    </w:p>
    <w:p w14:paraId="00602243" w14:textId="77777777" w:rsidR="004D3192" w:rsidRDefault="00000000">
      <w:r>
        <w:t>Kabanov, Yu. M., Liptser, R. Sh., and Shiryaev, A. N. (1977). On the question of absolute continuity and singularity of probability measures. Mathematics of the USSR-Sbornik, 33(2), 203-221. doi:10.1070/SM1977v033n02ABEH002421.</w:t>
      </w:r>
    </w:p>
    <w:p w14:paraId="00602243" w14:textId="77777777" w:rsidR="004D3192" w:rsidRDefault="00000000">
      <w:r>
        <w:t>Kakutani, S. (1948). On equivalence of infinite product measures. Annals of Mathematics, 49(1), 214-224. doi:10.2307/1969123.</w:t>
      </w:r>
    </w:p>
    <w:p w14:paraId="00602243" w14:textId="77777777" w:rsidR="004D3192" w:rsidRDefault="00000000">
      <w:r>
        <w:t>Kasy, M., and Sautmann, A. (2021). Adaptive treatment assignment in experiments for policy choice. Econometrica, 89(1), 113-132. doi:10.3982/ECTA17527.</w:t>
      </w:r>
    </w:p>
    <w:p w14:paraId="59706A28" w14:textId="77777777" w:rsidR="004D3192" w:rsidRDefault="00000000">
      <w:r>
        <w:lastRenderedPageBreak/>
        <w:t>Kerr, W. R., Nanda, R., and Rhodes-Kropf, M. (2014). Entrepreneurship as experimentation. Journal of Economic Perspectives, 28(3), 25-48.</w:t>
      </w:r>
    </w:p>
    <w:p w14:paraId="48A5641C" w14:textId="77777777" w:rsidR="004D3192" w:rsidRDefault="00000000">
      <w:r>
        <w:t xml:space="preserve">Le Cam, L., and Yang, G. L. (2000). </w:t>
      </w:r>
      <w:proofErr w:type="spellStart"/>
      <w:r>
        <w:t>Asymptotics</w:t>
      </w:r>
      <w:proofErr w:type="spellEnd"/>
      <w:r>
        <w:t xml:space="preserve"> in Statistics: Some Basic Concepts (2nd ed.). Springer.</w:t>
      </w:r>
    </w:p>
    <w:p w14:paraId="0BFE6F60" w14:textId="77777777" w:rsidR="004D3192" w:rsidRDefault="00000000">
      <w:r>
        <w:t>Le Goff, L. C., and Soulier, P. (2017). Parameter estimation of a two-colored urn model class. The International Journal of Biostatistics, 13(1), Article 20160029.</w:t>
      </w:r>
    </w:p>
    <w:p w14:paraId="3B036A40" w14:textId="77777777" w:rsidR="004D3192" w:rsidRDefault="00000000">
      <w:r>
        <w:t>Meghani, Z. (2021). Regulations matter: Epistemic monopoly, domination, patents, and the public interest. Philosophy &amp; Technology, 34(4), 1449-1474.</w:t>
      </w:r>
    </w:p>
    <w:p w14:paraId="0D0FF1D2" w14:textId="77777777" w:rsidR="004D3192" w:rsidRDefault="00000000">
      <w:r>
        <w:t>Merton, R. K. (1968). The Matthew effect in science. Science, 159(3810), 56-63.</w:t>
      </w:r>
    </w:p>
    <w:p w14:paraId="37BCAD3A" w14:textId="77777777" w:rsidR="004D3192" w:rsidRDefault="00000000">
      <w:r>
        <w:t>Oliveira, R. I. (2009). The onset of dominance in balls-in-bins processes with feedback. Random Structures &amp; Algorithms, 34(4), 454-477.</w:t>
      </w:r>
    </w:p>
    <w:p w14:paraId="5C4E5CCA" w14:textId="77777777" w:rsidR="004D3192" w:rsidRDefault="00000000">
      <w:proofErr w:type="spellStart"/>
      <w:r>
        <w:t>Pemantle</w:t>
      </w:r>
      <w:proofErr w:type="spellEnd"/>
      <w:r>
        <w:t>, R. (2007). A survey of random processes with reinforcement. Probability Surveys, 4, 1-79.</w:t>
      </w:r>
    </w:p>
    <w:p w14:paraId="454A9F9A" w14:textId="77777777" w:rsidR="004D3192" w:rsidRDefault="00000000">
      <w:r>
        <w:t xml:space="preserve">Piketty, T., Saez, E., and </w:t>
      </w:r>
      <w:proofErr w:type="spellStart"/>
      <w:r>
        <w:t>Stantcheva</w:t>
      </w:r>
      <w:proofErr w:type="spellEnd"/>
      <w:r>
        <w:t>, S. (2014). Optimal taxation of top labor incomes: A tale of three elasticities. American Economic Journal: Economic Policy, 6(1), 230-271.</w:t>
      </w:r>
    </w:p>
    <w:p w14:paraId="5AD9B833" w14:textId="77777777" w:rsidR="004D3192" w:rsidRDefault="00000000">
      <w:r>
        <w:t>Rothschild, C., and Scheuer, F. (2016). Optimal taxation with rent-seeking. The Review of Economic Studies, 83(3), 1225-1262.</w:t>
      </w:r>
    </w:p>
    <w:p w14:paraId="6D7C73E3" w14:textId="77777777" w:rsidR="004D3192" w:rsidRDefault="00000000">
      <w:proofErr w:type="spellStart"/>
      <w:r>
        <w:t>Salganik</w:t>
      </w:r>
      <w:proofErr w:type="spellEnd"/>
      <w:r>
        <w:t>, M. J., Dodds, P. S., and Watts, D. J. (2006). Experimental study of inequality and unpredictability in an artificial cultural market. Science, 311(5762), 854-856.</w:t>
      </w:r>
    </w:p>
    <w:p w14:paraId="5A76B2DD" w14:textId="77777777" w:rsidR="004D3192" w:rsidRDefault="00000000">
      <w:r>
        <w:t>van de Rijt, A., Kang, S. M., Restivo, M., and Patil, A. (2014). Field experiments of success-breeds-success dynamics. Proceedings of the National Academy of Sciences, 111(19), 6934-6939.</w:t>
      </w:r>
    </w:p>
    <w:p w14:paraId="00602243" w14:textId="77777777" w:rsidR="004D3192" w:rsidRDefault="00000000">
      <w:r>
        <w:t>Zhang, H. (2004). Inconsistent estimation and asymptotically equal interpolations in model-based geostatistics. Journal of the American Statistical Association, 99(465), 250-261. doi:10.1198/016214504000000241.</w:t>
      </w:r>
    </w:p>
    <w:p w14:paraId="16B8BB9A" w14:textId="77777777" w:rsidR="004D3192" w:rsidRDefault="00000000">
      <w:pPr>
        <w:pStyle w:val="Heading1"/>
        <w:pageBreakBefore/>
      </w:pPr>
      <w:r>
        <w:lastRenderedPageBreak/>
        <w:t>Technical Appendix</w:t>
      </w:r>
    </w:p>
    <w:p w14:paraId="4801CB53" w14:textId="77777777" w:rsidR="004D3192" w:rsidRDefault="00000000">
      <w:r>
        <w:t>This appendix proves the information bounds, finite-budget theorem, finite-horizon lower bound, and strong-reinforcement result, and records the auxiliary replication and contribution-position arguments.</w:t>
      </w:r>
    </w:p>
    <w:p w14:paraId="07E21AD4" w14:textId="77777777" w:rsidR="004D3192" w:rsidRDefault="00000000">
      <w:pPr>
        <w:pStyle w:val="Heading2"/>
      </w:pPr>
      <w:r>
        <w:t>Canonical experiment and notation</w:t>
      </w:r>
    </w:p>
    <w:p w14:paraId="082BEB2B" w14:textId="77777777" w:rsidR="004D3192" w:rsidRDefault="00000000">
      <w:r>
        <w:t>All probability laws are defined on the same raw filtered measurable space (Ω, F∞, (Fₜ)ₜ≥0), where F∞ = σ(∪ₜ≥0Fₜ). The sigma-fields are not completed separately under different parameter values, and the initial law on F₀ is common across parameters.</w:t>
      </w:r>
    </w:p>
    <w:p w14:paraId="17E99449" w14:textId="77777777" w:rsidR="004D3192" w:rsidRDefault="00000000">
      <w:r>
        <w:t>The verified-input profiles xᵢₜ and state indices sᵢₜ are common predictable functions of the canonical past. On a fixed realized history, their values do not change when β changes. All parameter-dependent randomness in the next observed allocation enters through the conditional recipient kernel pₜ(β). If additional observed covariates or state innovations have β-dependent conditional laws, their conditional Hellinger increments must be included in the statistical experiment.</w:t>
      </w:r>
    </w:p>
    <w:p w14:paraId="76EA68D1" w14:textId="77777777" w:rsidR="00C218A9" w:rsidRDefault="00000000">
      <w:pPr>
        <w:pStyle w:val="Heading1"/>
      </w:pPr>
      <w:bookmarkStart w:id="0" w:name="Xf50517952c3845d49b4c745b1a5d3a975a1ff6c"/>
      <w:r>
        <w:t>Appendix A. Information Bounds for Conditional Logit</w:t>
      </w:r>
    </w:p>
    <w:p w14:paraId="19C411E3" w14:textId="77777777" w:rsidR="00C218A9" w:rsidRDefault="00000000">
      <w:pPr>
        <w:pStyle w:val="Heading2"/>
      </w:pPr>
      <w:bookmarkStart w:id="1" w:name="a1-fisher-information"/>
      <w:r>
        <w:t>A.1 Fisher information</w:t>
      </w:r>
    </w:p>
    <w:p w14:paraId="11EF03F7" w14:textId="77777777" w:rsidR="00C218A9" w:rsidRDefault="00000000">
      <w:r>
        <w:t>Let</w:t>
      </w:r>
    </w:p>
    <w:p w14:paraId="1977CDAF"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it</m:t>
                  </m:r>
                </m:sub>
              </m:sSub>
            </m:e>
          </m:nary>
          <m:d>
            <m:dPr>
              <m:ctrlPr>
                <w:rPr>
                  <w:rFonts w:ascii="Cambria Math" w:hAnsi="Cambria Math"/>
                </w:rPr>
              </m:ctrlPr>
            </m:dPr>
            <m:e>
              <m:r>
                <w:rPr>
                  <w:rFonts w:ascii="Cambria Math" w:hAnsi="Cambria Math"/>
                </w:rPr>
                <m:t>β</m:t>
              </m:r>
            </m:e>
          </m:d>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oMath>
      </m:oMathPara>
    </w:p>
    <w:p w14:paraId="241A79D5" w14:textId="77777777" w:rsidR="00C218A9" w:rsidRDefault="00000000">
      <w:r>
        <w:t xml:space="preserve">For any fixed vector </w:t>
      </w:r>
      <m:oMath>
        <m:r>
          <w:rPr>
            <w:rFonts w:ascii="Cambria Math" w:hAnsi="Cambria Math"/>
          </w:rPr>
          <m:t>a</m:t>
        </m:r>
      </m:oMath>
      <w:r>
        <w:t>,</w:t>
      </w:r>
    </w:p>
    <w:p w14:paraId="26C0B041" w14:textId="77777777" w:rsidR="00C218A9" w:rsidRDefault="00000000">
      <w:pPr>
        <w:keepLines/>
      </w:pPr>
      <m:oMathPara>
        <m:oMathParaPr>
          <m:jc m:val="center"/>
        </m:oMathParaPr>
        <m:oMath>
          <m:r>
            <m:rPr>
              <m:sty m:val="p"/>
            </m:rPr>
            <w:rPr>
              <w:rFonts w:ascii="Cambria Math" w:hAnsi="Cambria Math"/>
            </w:rPr>
            <m:t>tr</m:t>
          </m:r>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e>
              </m:d>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β</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e>
              </m:d>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49367937" w14:textId="77777777" w:rsidR="00C218A9" w:rsidRDefault="00000000">
      <w:r>
        <w:lastRenderedPageBreak/>
        <w:t xml:space="preserve">Choose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t</m:t>
            </m:r>
          </m:sub>
        </m:sSub>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maximizes </w:t>
      </w:r>
      <m:oMath>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e>
        </m:d>
      </m:oMath>
      <w:r>
        <w:t>. Then</w:t>
      </w:r>
    </w:p>
    <w:p w14:paraId="49D51762" w14:textId="77777777" w:rsidR="00C218A9" w:rsidRDefault="00000000">
      <w:pPr>
        <w:keepLines/>
      </w:pPr>
      <m:oMathPara>
        <m:oMathParaPr>
          <m:jc m:val="center"/>
        </m:oMathParaPr>
        <m:oMath>
          <m:r>
            <m:rPr>
              <m:sty m:val="p"/>
            </m:rPr>
            <w:rPr>
              <w:rFonts w:ascii="Cambria Math" w:hAnsi="Cambria Math"/>
            </w:rPr>
            <m:t>tr</m:t>
          </m:r>
          <m:sSub>
            <m:sSubPr>
              <m:ctrlPr>
                <w:rPr>
                  <w:rFonts w:ascii="Cambria Math" w:hAnsi="Cambria Math"/>
                </w:rPr>
              </m:ctrlPr>
            </m:sSubPr>
            <m:e>
              <m:r>
                <m:rPr>
                  <m:scr m:val="script"/>
                  <m:sty m:val="p"/>
                </m:rP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jt</m:t>
                  </m:r>
                </m:sub>
              </m:sSub>
            </m:e>
          </m:nary>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X</m:t>
              </m:r>
            </m:sub>
            <m:sup>
              <m:r>
                <w:rPr>
                  <w:rFonts w:ascii="Cambria Math" w:hAnsi="Cambria Math"/>
                </w:rPr>
                <m:t>2</m:t>
              </m:r>
            </m:sup>
          </m:sSubSup>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oMath>
      </m:oMathPara>
    </w:p>
    <w:p w14:paraId="0EEEF3BB" w14:textId="77777777" w:rsidR="00C218A9" w:rsidRDefault="00000000">
      <w:r>
        <w:t>which proves Proposition 1's information bound.</w:t>
      </w:r>
    </w:p>
    <w:p w14:paraId="0008FA58" w14:textId="77777777" w:rsidR="00C218A9" w:rsidRDefault="00000000">
      <w:pPr>
        <w:pStyle w:val="Heading2"/>
      </w:pPr>
      <w:bookmarkStart w:id="2" w:name="a2-kl-divergence"/>
      <w:bookmarkEnd w:id="1"/>
      <w:r>
        <w:t>A.2 KL divergence</w:t>
      </w:r>
    </w:p>
    <w:p w14:paraId="7378B84A" w14:textId="77777777" w:rsidR="00C218A9" w:rsidRDefault="00000000">
      <w:r>
        <w:t xml:space="preserve">Write </w:t>
      </w:r>
      <m:oMath>
        <m:r>
          <w:rPr>
            <w:rFonts w:ascii="Cambria Math" w:hAnsi="Cambria Math"/>
          </w:rPr>
          <m:t>δ</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β</m:t>
        </m:r>
      </m:oMath>
      <w:r>
        <w:t xml:space="preserve"> and</w:t>
      </w:r>
    </w:p>
    <w:p w14:paraId="7942E32B"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u</m:t>
              </m:r>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it</m:t>
                  </m:r>
                </m:sub>
                <m:sup>
                  <m:r>
                    <m:rPr>
                      <m:sty m:val="p"/>
                    </m:rPr>
                    <w:rPr>
                      <w:rFonts w:ascii="Cambria Math" w:hAnsi="Cambria Math"/>
                    </w:rPr>
                    <m:t>⊤</m:t>
                  </m:r>
                </m:sup>
              </m:sSubSup>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e>
          </m:d>
          <m:r>
            <m:rPr>
              <m:sty m:val="p"/>
            </m:rPr>
            <w:rPr>
              <w:rFonts w:ascii="Cambria Math" w:hAnsi="Cambria Math"/>
            </w:rPr>
            <m:t>.</m:t>
          </m:r>
        </m:oMath>
      </m:oMathPara>
    </w:p>
    <w:p w14:paraId="1611F304" w14:textId="77777777" w:rsidR="00C218A9" w:rsidRDefault="00000000">
      <w:r>
        <w:t>The conditional KL divergence is the Bregman divergence</w:t>
      </w:r>
    </w:p>
    <w:p w14:paraId="49A4A6CF"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e>
              </m:d>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β</m:t>
                  </m:r>
                </m:e>
              </m:d>
            </m:e>
            <m:sup>
              <m:r>
                <m:rPr>
                  <m:sty m:val="p"/>
                </m:rPr>
                <w:rPr>
                  <w:rFonts w:ascii="Cambria Math" w:hAnsi="Cambria Math"/>
                </w:rPr>
                <m:t>⊤</m:t>
              </m:r>
            </m:sup>
          </m:sSup>
          <m:r>
            <w:rPr>
              <w:rFonts w:ascii="Cambria Math" w:hAnsi="Cambria Math"/>
            </w:rPr>
            <m:t>δ</m:t>
          </m:r>
          <m:r>
            <m:rPr>
              <m:sty m:val="p"/>
            </m:rPr>
            <w:rPr>
              <w:rFonts w:ascii="Cambria Math" w:hAnsi="Cambria Math"/>
            </w:rPr>
            <m:t>.</m:t>
          </m:r>
        </m:oMath>
      </m:oMathPara>
    </w:p>
    <w:p w14:paraId="4CA0428B" w14:textId="77777777" w:rsidR="00C218A9" w:rsidRDefault="00000000">
      <w:r>
        <w:t>Taylor's theorem gives</w:t>
      </w:r>
    </w:p>
    <w:p w14:paraId="3B25A530"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e>
              </m:d>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nary>
          <m:sSup>
            <m:sSupPr>
              <m:ctrlPr>
                <w:rPr>
                  <w:rFonts w:ascii="Cambria Math" w:hAnsi="Cambria Math"/>
                </w:rPr>
              </m:ctrlPr>
            </m:sSupPr>
            <m:e>
              <m:r>
                <w:rPr>
                  <w:rFonts w:ascii="Cambria Math" w:hAnsi="Cambria Math"/>
                </w:rPr>
                <m:t>δ</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rδ</m:t>
                  </m:r>
                </m:e>
              </m:d>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e>
          </m:d>
          <m:r>
            <w:rPr>
              <w:rFonts w:ascii="Cambria Math" w:hAnsi="Cambria Math"/>
            </w:rPr>
            <m:t>δ dr</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A1</m:t>
              </m:r>
            </m:e>
          </m:d>
        </m:oMath>
      </m:oMathPara>
    </w:p>
    <w:p w14:paraId="2E3F0259" w14:textId="77777777" w:rsidR="00C218A9" w:rsidRDefault="00000000">
      <w:r>
        <w:t xml:space="preserve">Let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maximize </w:t>
      </w:r>
      <m:oMath>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e>
        </m:d>
      </m:oMath>
      <w:r>
        <w:t xml:space="preserve">. </w:t>
      </w:r>
      <w:proofErr w:type="gramStart"/>
      <w:r>
        <w:t>Along</w:t>
      </w:r>
      <w:proofErr w:type="gramEnd"/>
      <w:r>
        <w:t xml:space="preserve"> the exponential tilt,</w:t>
      </w:r>
    </w:p>
    <w:p w14:paraId="4249D6FD" w14:textId="77777777" w:rsidR="00C218A9" w:rsidRDefault="00000000">
      <w:pPr>
        <w:keepLines/>
      </w:pPr>
      <m:oMathPara>
        <m:oMathParaPr>
          <m:jc m:val="center"/>
        </m:oMathParaPr>
        <m:oMath>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rδ</m:t>
                  </m:r>
                </m:e>
              </m:d>
            </m:num>
            <m:den>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rδ</m:t>
                  </m:r>
                </m:e>
              </m:d>
            </m:den>
          </m:f>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r>
                <w:rPr>
                  <w:rFonts w:ascii="Cambria Math" w:hAnsi="Cambria Math"/>
                </w:rPr>
                <m:t>δ</m:t>
              </m:r>
              <m:r>
                <m:rPr>
                  <m:sty m:val="p"/>
                </m:rPr>
                <w:rPr>
                  <w:rFonts w:ascii="Cambria Math" w:hAnsi="Cambria Math"/>
                </w:rPr>
                <m:t>∥</m:t>
              </m:r>
            </m:e>
          </m:d>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den>
          </m:f>
          <m:r>
            <m:rPr>
              <m:sty m:val="p"/>
            </m:rPr>
            <w:rPr>
              <w:rFonts w:ascii="Cambria Math" w:hAnsi="Cambria Math"/>
            </w:rPr>
            <m:t>.</m:t>
          </m:r>
        </m:oMath>
      </m:oMathPara>
    </w:p>
    <w:p w14:paraId="25C98CC4" w14:textId="77777777" w:rsidR="00C218A9" w:rsidRDefault="00000000">
      <w:r>
        <w:t xml:space="preserve">Because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w:t>
      </w:r>
    </w:p>
    <w:p w14:paraId="402A0169" w14:textId="77777777" w:rsidR="00C218A9" w:rsidRDefault="00000000">
      <w:pPr>
        <w:keepLines/>
      </w:pPr>
      <m:oMathPara>
        <m:oMathParaPr>
          <m:jc m:val="center"/>
        </m:oMathParaPr>
        <m:oMath>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rδ</m:t>
              </m:r>
            </m:e>
          </m:d>
          <m:r>
            <m:rPr>
              <m:sty m:val="p"/>
            </m:rPr>
            <w:rPr>
              <w:rFonts w:ascii="Cambria Math" w:hAnsi="Cambria Math"/>
            </w:rPr>
            <m:t>≤</m:t>
          </m:r>
          <m:r>
            <w:rPr>
              <w:rFonts w:ascii="Cambria Math" w:hAnsi="Cambria Math"/>
            </w:rPr>
            <m:t>n</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diam</m:t>
              </m:r>
              <m:d>
                <m:dPr>
                  <m:ctrlPr>
                    <w:rPr>
                      <w:rFonts w:ascii="Cambria Math" w:hAnsi="Cambria Math"/>
                    </w:rPr>
                  </m:ctrlPr>
                </m:dPr>
                <m:e>
                  <m:r>
                    <w:rPr>
                      <w:rFonts w:ascii="Cambria Math" w:hAnsi="Cambria Math"/>
                    </w:rPr>
                    <m:t>Θ</m:t>
                  </m:r>
                </m:e>
              </m:d>
            </m:e>
          </m:d>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oMath>
      </m:oMathPara>
    </w:p>
    <w:p w14:paraId="2684FA8E" w14:textId="77777777" w:rsidR="00C218A9" w:rsidRDefault="00000000">
      <w:r>
        <w:t xml:space="preserve">Applying Proposition 1 inside (A1) and integrating </w:t>
      </w:r>
      <m:oMath>
        <m:r>
          <w:rPr>
            <w:rFonts w:ascii="Cambria Math" w:hAnsi="Cambria Math"/>
          </w:rPr>
          <m:t>1</m:t>
        </m:r>
        <m:r>
          <m:rPr>
            <m:sty m:val="p"/>
          </m:rPr>
          <w:rPr>
            <w:rFonts w:ascii="Cambria Math" w:hAnsi="Cambria Math"/>
          </w:rPr>
          <m:t>-</m:t>
        </m:r>
        <m:r>
          <w:rPr>
            <w:rFonts w:ascii="Cambria Math" w:hAnsi="Cambria Math"/>
          </w:rPr>
          <m:t>r</m:t>
        </m:r>
      </m:oMath>
      <w:r>
        <w:t xml:space="preserve"> over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gives (6) with </w:t>
      </w:r>
      <m:oMath>
        <m:sSub>
          <m:e>
            <m:r>
              <w:rPr>
                <w:rFonts w:ascii="Cambria Math" w:hAnsi="Cambria Math"/>
              </w:rPr>
              <m:t>K</m:t>
            </m:r>
          </m:e>
          <m:sub>
            <m:r>
              <w:rPr>
                <w:rFonts w:ascii="Cambria Math" w:hAnsi="Cambria Math"/>
              </w:rPr>
              <m:t>X,Θ</m:t>
            </m:r>
          </m:sub>
        </m:sSub>
        <m:r>
          <w:rPr>
            <w:rFonts w:ascii="Cambria Math" w:hAnsi="Cambria Math"/>
          </w:rPr>
          <m:t xml:space="preserve"> = </m:t>
        </m:r>
        <m:f>
          <m:num>
            <m:r>
              <w:rPr>
                <w:rFonts w:ascii="Cambria Math" w:hAnsi="Cambria Math"/>
              </w:rPr>
              <m:t>1</m:t>
            </m:r>
          </m:num>
          <m:den>
            <m:r>
              <w:rPr>
                <w:rFonts w:ascii="Cambria Math" w:hAnsi="Cambria Math"/>
              </w:rPr>
              <m:t>2</m:t>
            </m:r>
          </m:den>
        </m:f>
        <m:r>
          <w:rPr>
            <w:rFonts w:ascii="Cambria Math" w:hAnsi="Cambria Math"/>
          </w:rPr>
          <m:t>n</m:t>
        </m:r>
        <m:sSup>
          <m:e>
            <m:sSub>
              <m:e>
                <m:r>
                  <w:rPr>
                    <w:rFonts w:ascii="Cambria Math" w:hAnsi="Cambria Math"/>
                  </w:rPr>
                  <m:t>D</m:t>
                </m:r>
              </m:e>
              <m:sub>
                <m:r>
                  <w:rPr>
                    <w:rFonts w:ascii="Cambria Math" w:hAnsi="Cambria Math"/>
                  </w:rPr>
                  <m:t>X</m:t>
                </m:r>
              </m:sub>
            </m:sSub>
          </m:e>
          <m:sup>
            <m:r>
              <w:rPr>
                <w:rFonts w:ascii="Cambria Math" w:hAnsi="Cambria Math"/>
              </w:rPr>
              <m:t>2</m:t>
            </m:r>
          </m:sup>
        </m:sSup>
        <m:r>
          <m:rPr>
            <m:sty m:val="p"/>
          </m:rPr>
          <w:rPr>
            <w:rFonts w:ascii="Cambria Math" w:hAnsi="Cambria Math"/>
          </w:rPr>
          <m:t>exp</m:t>
        </m:r>
        <m:r>
          <w:rPr>
            <w:rFonts w:ascii="Cambria Math" w:hAnsi="Cambria Math"/>
          </w:rPr>
          <m:t>(</m:t>
        </m:r>
        <m:sSub>
          <m:e>
            <m:r>
              <w:rPr>
                <w:rFonts w:ascii="Cambria Math" w:hAnsi="Cambria Math"/>
              </w:rPr>
              <m:t>D</m:t>
            </m:r>
          </m:e>
          <m:sub>
            <m:r>
              <w:rPr>
                <w:rFonts w:ascii="Cambria Math" w:hAnsi="Cambria Math"/>
              </w:rPr>
              <m:t>X</m:t>
            </m:r>
          </m:sub>
        </m:sSub>
        <m:r>
          <m:rPr>
            <m:sty m:val="p"/>
          </m:rPr>
          <w:rPr>
            <w:rFonts w:ascii="Cambria Math" w:hAnsi="Cambria Math"/>
          </w:rPr>
          <m:t>diam</m:t>
        </m:r>
        <m:r>
          <w:rPr>
            <w:rFonts w:ascii="Cambria Math" w:hAnsi="Cambria Math"/>
          </w:rPr>
          <m:t>Θ)</m:t>
        </m:r>
      </m:oMath>
      <w:r>
        <w:t xml:space="preserve">, for bounded Θ. For a fixed pair, replace diam Θ by </w:t>
      </w:r>
      <m:oMath>
        <m:d>
          <m:dPr>
            <m:begChr m:val="‖"/>
            <m:endChr m:val="‖"/>
          </m:dPr>
          <m:e>
            <m:r>
              <w:rPr>
                <w:rFonts w:ascii="Cambria Math" w:hAnsi="Cambria Math"/>
              </w:rPr>
              <m:t>β−β′</m:t>
            </m:r>
          </m:e>
        </m:d>
      </m:oMath>
      <w:r>
        <w:t xml:space="preserve">. Since </w:t>
      </w:r>
      <m:oMath>
        <m:sSup>
          <m:e>
            <m:sSub>
              <m:e>
                <m:r>
                  <w:rPr>
                    <w:rFonts w:ascii="Cambria Math" w:hAnsi="Cambria Math"/>
                  </w:rPr>
                  <m:t>h</m:t>
                </m:r>
              </m:e>
              <m:sub>
                <m:r>
                  <w:rPr>
                    <w:rFonts w:ascii="Cambria Math" w:hAnsi="Cambria Math"/>
                  </w:rPr>
                  <m:t>t</m:t>
                </m:r>
              </m:sub>
            </m:sSub>
          </m:e>
          <m:sup>
            <m:r>
              <w:rPr>
                <w:rFonts w:ascii="Cambria Math" w:hAnsi="Cambria Math"/>
              </w:rPr>
              <m:t>2</m:t>
            </m:r>
          </m:sup>
        </m:sSup>
        <m:r>
          <w:rPr>
            <w:rFonts w:ascii="Cambria Math" w:hAnsi="Cambria Math"/>
          </w:rPr>
          <m:t xml:space="preserve"> ≤ </m:t>
        </m:r>
        <m:sSub>
          <m:e>
            <m:r>
              <m:rPr>
                <m:sty m:val="p"/>
              </m:rPr>
              <w:rPr>
                <w:rFonts w:ascii="Cambria Math" w:hAnsi="Cambria Math"/>
              </w:rPr>
              <m:t>D</m:t>
            </m:r>
          </m:e>
          <m:sub>
            <m:r>
              <w:rPr>
                <w:rFonts w:ascii="Cambria Math" w:hAnsi="Cambria Math"/>
              </w:rPr>
              <m:t>KL</m:t>
            </m:r>
          </m:sub>
        </m:sSub>
      </m:oMath>
      <w:r>
        <w:t>, comparison-dominated separation follows with the pairwise coefficient multiplied by squared parameter distance.</w:t>
      </w:r>
    </w:p>
    <w:p w14:paraId="568CD228" w14:textId="77777777" w:rsidR="00C218A9" w:rsidRDefault="00000000">
      <w:r>
        <w:t>Finally,</w:t>
      </w:r>
    </w:p>
    <w:p w14:paraId="736727B0" w14:textId="77777777" w:rsidR="00C218A9" w:rsidRDefault="00000000">
      <w:pPr>
        <w:keepLines/>
      </w:pPr>
      <m:oMathPara>
        <m:oMathParaPr>
          <m:jc m:val="center"/>
        </m:oMathParaPr>
        <m:oMath>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e>
              </m:d>
            </m:num>
            <m:den>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β</m:t>
                  </m:r>
                </m:e>
              </m:d>
            </m:den>
          </m:f>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β</m:t>
                  </m:r>
                </m:e>
              </m:d>
            </m:e>
          </m:d>
          <m:r>
            <m:rPr>
              <m:sty m:val="p"/>
            </m:rPr>
            <w:rPr>
              <w:rFonts w:ascii="Cambria Math" w:hAnsi="Cambria Math"/>
            </w:rPr>
            <m:t>.</m:t>
          </m:r>
        </m:oMath>
      </m:oMathPara>
    </w:p>
    <w:p w14:paraId="576A7F00" w14:textId="77777777" w:rsidR="00C218A9" w:rsidRDefault="00000000">
      <w:r>
        <w:lastRenderedPageBreak/>
        <w:t xml:space="preserve">The bracketed term is constant conditional 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Its conditional variance is therefore</w:t>
      </w:r>
    </w:p>
    <w:p w14:paraId="2B970AC7" w14:textId="77777777" w:rsidR="00C218A9" w:rsidRDefault="00000000">
      <w:pPr>
        <w:keepLines/>
      </w:pPr>
      <m:oMathPara>
        <m:oMathParaPr>
          <m:jc m:val="center"/>
        </m:oMathParaPr>
        <m:oMath>
          <m:sSup>
            <m:sSupPr>
              <m:ctrlPr>
                <w:rPr>
                  <w:rFonts w:ascii="Cambria Math" w:hAnsi="Cambria Math"/>
                </w:rPr>
              </m:ctrlPr>
            </m:sSupPr>
            <m:e>
              <m:r>
                <w:rPr>
                  <w:rFonts w:ascii="Cambria Math" w:hAnsi="Cambria Math"/>
                </w:rPr>
                <m:t>δ</m:t>
              </m:r>
            </m:e>
            <m:sup>
              <m:r>
                <m:rPr>
                  <m:sty m:val="p"/>
                </m:rPr>
                <w:rPr>
                  <w:rFonts w:ascii="Cambria Math" w:hAnsi="Cambria Math"/>
                </w:rPr>
                <m:t>⊤</m:t>
              </m:r>
            </m:sup>
          </m:sSup>
          <m:sSub>
            <m:sSubPr>
              <m:ctrlPr>
                <w:rPr>
                  <w:rFonts w:ascii="Cambria Math" w:hAnsi="Cambria Math"/>
                </w:rPr>
              </m:ctrlPr>
            </m:sSubPr>
            <m:e>
              <m:r>
                <m:rPr>
                  <m:scr m:val="script"/>
                  <m:sty m:val="p"/>
                </m:rPr>
                <w:rPr>
                  <w:rFonts w:ascii="Cambria Math" w:hAnsi="Cambria Math"/>
                </w:rPr>
                <m:t>I</m:t>
              </m:r>
            </m:e>
            <m:sub>
              <m:r>
                <w:rPr>
                  <w:rFonts w:ascii="Cambria Math" w:hAnsi="Cambria Math"/>
                </w:rPr>
                <m:t>t</m:t>
              </m:r>
            </m:sub>
          </m:sSub>
          <m:d>
            <m:dPr>
              <m:ctrlPr>
                <w:rPr>
                  <w:rFonts w:ascii="Cambria Math" w:hAnsi="Cambria Math"/>
                </w:rPr>
              </m:ctrlPr>
            </m:dPr>
            <m:e>
              <m:r>
                <w:rPr>
                  <w:rFonts w:ascii="Cambria Math" w:hAnsi="Cambria Math"/>
                </w:rPr>
                <m:t>β</m:t>
              </m:r>
            </m:e>
          </m:d>
          <m:r>
            <w:rPr>
              <w:rFonts w:ascii="Cambria Math" w:hAnsi="Cambria Math"/>
            </w:rPr>
            <m:t>δ</m:t>
          </m:r>
          <m:r>
            <m:rPr>
              <m:sty m:val="p"/>
            </m:rPr>
            <w:rPr>
              <w:rFonts w:ascii="Cambria Math" w:hAnsi="Cambria Math"/>
            </w:rPr>
            <m:t>≤∥</m:t>
          </m:r>
          <m:r>
            <w:rPr>
              <w:rFonts w:ascii="Cambria Math" w:hAnsi="Cambria Math"/>
            </w:rPr>
            <m:t>δ</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Sup>
            <m:sSubSupPr>
              <m:ctrlPr>
                <w:rPr>
                  <w:rFonts w:ascii="Cambria Math" w:hAnsi="Cambria Math"/>
                </w:rPr>
              </m:ctrlPr>
            </m:sSubSupPr>
            <m:e>
              <m:r>
                <w:rPr>
                  <w:rFonts w:ascii="Cambria Math" w:hAnsi="Cambria Math"/>
                </w:rPr>
                <m:t>D</m:t>
              </m:r>
            </m:e>
            <m:sub>
              <m:r>
                <w:rPr>
                  <w:rFonts w:ascii="Cambria Math" w:hAnsi="Cambria Math"/>
                </w:rPr>
                <m:t>X</m:t>
              </m:r>
            </m:sub>
            <m:sup>
              <m:r>
                <w:rPr>
                  <w:rFonts w:ascii="Cambria Math" w:hAnsi="Cambria Math"/>
                </w:rPr>
                <m:t>2</m:t>
              </m:r>
            </m:sup>
          </m:sSubSup>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oMath>
      </m:oMathPara>
    </w:p>
    <w:p w14:paraId="5C853DB9" w14:textId="77777777" w:rsidR="00C218A9" w:rsidRDefault="00000000">
      <w:r>
        <w:t>which proves the auxiliary likelihood-ratio variance bound.</w:t>
      </w:r>
    </w:p>
    <w:p w14:paraId="7E9DBC58" w14:textId="77777777" w:rsidR="00C218A9" w:rsidRDefault="00000000">
      <w:pPr>
        <w:pStyle w:val="Heading1"/>
      </w:pPr>
      <w:bookmarkStart w:id="3" w:name="appendix-b-proof-details-for-theorem-1"/>
      <w:bookmarkEnd w:id="0"/>
      <w:bookmarkEnd w:id="2"/>
      <w:r>
        <w:t>Appendix B. Proof Details for Theorem 1</w:t>
      </w:r>
    </w:p>
    <w:p w14:paraId="044F6985" w14:textId="77777777" w:rsidR="004D3192" w:rsidRDefault="00000000">
      <w:r>
        <w:t xml:space="preserve">Fix </w:t>
      </w:r>
      <m:oMath>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Θ</m:t>
        </m:r>
      </m:oMath>
      <w:r>
        <w:t xml:space="preserve">. Write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oMath>
      <w:r>
        <w:t xml:space="preserve"> and </w:t>
      </w:r>
      <m:oMath>
        <m:r>
          <w:rPr>
            <w:rFonts w:ascii="Cambria Math" w:hAnsi="Cambria Math"/>
          </w:rPr>
          <m:t>P</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oMath>
      <w:r>
        <w:t xml:space="preserve">, and let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denote their restrictions 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xml:space="preserve">. By local equivalence,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for every finite </w:t>
      </w:r>
      <m:oMath>
        <m:r>
          <w:rPr>
            <w:rFonts w:ascii="Cambria Math" w:hAnsi="Cambria Math"/>
          </w:rPr>
          <m:t>T</m:t>
        </m:r>
      </m:oMath>
      <w:r>
        <w:t>. Define the finite-horizon likelihood ratio</w:t>
      </w:r>
    </w:p>
    <w:p w14:paraId="758FB601" w14:textId="77777777" w:rsidR="004D3192" w:rsidRDefault="00000000">
      <w:pPr>
        <w:keepLines/>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T</m:t>
                  </m:r>
                </m:sub>
              </m:sSub>
            </m:num>
            <m:den>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T</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f>
                <m:fPr>
                  <m:ctrlPr>
                    <w:rPr>
                      <w:rFonts w:ascii="Cambria Math" w:hAnsi="Cambria Math"/>
                    </w:rPr>
                  </m:ctrlPr>
                </m:fPr>
                <m:num>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J</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β</m:t>
                      </m:r>
                    </m:e>
                  </m:d>
                </m:num>
                <m:den>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J</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e>
                  </m:d>
                </m:den>
              </m:f>
            </m:e>
          </m:nary>
          <m:r>
            <w:rPr>
              <w:rFonts w:ascii="Cambria Math" w:hAnsi="Cambria Math"/>
            </w:rPr>
            <m:t>  </m:t>
          </m:r>
          <m:d>
            <m:dPr>
              <m:ctrlPr>
                <w:rPr>
                  <w:rFonts w:ascii="Cambria Math" w:hAnsi="Cambria Math"/>
                </w:rPr>
              </m:ctrlPr>
            </m:dPr>
            <m:e>
              <m:r>
                <m:rPr>
                  <m:sty m:val="p"/>
                </m:rPr>
                <w:rPr>
                  <w:rFonts w:ascii="Cambria Math" w:hAnsi="Cambria Math"/>
                </w:rPr>
                <m:t>B1</m:t>
              </m:r>
            </m:e>
          </m:d>
        </m:oMath>
      </m:oMathPara>
    </w:p>
    <w:p w14:paraId="25464864" w14:textId="77777777" w:rsidR="004D3192" w:rsidRDefault="00000000">
      <w:r>
        <w:t>Let</w:t>
      </w:r>
    </w:p>
    <w:p w14:paraId="1453D9E8" w14:textId="77777777" w:rsidR="004D3192" w:rsidRDefault="00000000">
      <w:pPr>
        <w:keepLines/>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oMath>
      </m:oMathPara>
    </w:p>
    <w:p w14:paraId="6FDB47E2" w14:textId="77777777" w:rsidR="004D3192" w:rsidRDefault="00000000">
      <w:r>
        <w:t xml:space="preserve">Conditional 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w:t>
      </w:r>
    </w:p>
    <w:p w14:paraId="4A61A88E" w14:textId="77777777" w:rsidR="004D3192" w:rsidRDefault="00000000">
      <w:pPr>
        <w:keepLines/>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m:t>
          </m:r>
          <m:d>
            <m:dPr>
              <m:begChr m:val="["/>
              <m:endChr m:val="]"/>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e>
              </m:ra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e>
                  </m:d>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r>
                        <m:rPr>
                          <m:sty m:val="p"/>
                        </m:rPr>
                        <w:rPr>
                          <w:rFonts w:ascii="Cambria Math" w:hAnsi="Cambria Math"/>
                        </w:rPr>
                        <m:t>'</m:t>
                      </m:r>
                    </m:e>
                  </m:d>
                </m:e>
              </m:rad>
            </m:e>
          </m:nary>
          <m:r>
            <w:rPr>
              <w:rFonts w:ascii="Cambria Math" w:hAnsi="Cambria Math"/>
            </w:rPr>
            <m:t>  </m:t>
          </m:r>
          <m:d>
            <m:dPr>
              <m:ctrlPr>
                <w:rPr>
                  <w:rFonts w:ascii="Cambria Math" w:hAnsi="Cambria Math"/>
                </w:rPr>
              </m:ctrlPr>
            </m:dPr>
            <m:e>
              <m:r>
                <m:rPr>
                  <m:sty m:val="p"/>
                </m:rPr>
                <w:rPr>
                  <w:rFonts w:ascii="Cambria Math" w:hAnsi="Cambria Math"/>
                </w:rPr>
                <m:t>B2</m:t>
              </m:r>
            </m:e>
          </m:d>
        </m:oMath>
      </m:oMathPara>
    </w:p>
    <w:p w14:paraId="1F8C2861" w14:textId="77777777" w:rsidR="004D3192" w:rsidRDefault="00000000">
      <w:r>
        <w:t>Hence</w:t>
      </w:r>
    </w:p>
    <w:p w14:paraId="5EF5CE14" w14:textId="77777777" w:rsidR="004D3192" w:rsidRDefault="00000000">
      <w:pPr>
        <w:keepLines/>
      </w:pPr>
      <m:oMathPara>
        <m:oMathParaPr>
          <m:jc m:val="center"/>
        </m:oMathParaPr>
        <m:oMath>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m:t>
              </m:r>
              <m:d>
                <m:dPr>
                  <m:begChr m:val="["/>
                  <m:endChr m:val="]"/>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e>
                  </m:ra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e>
                          </m:d>
                        </m:e>
                      </m:ra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β</m:t>
                              </m:r>
                              <m:r>
                                <m:rPr>
                                  <m:sty m:val="p"/>
                                </m:rPr>
                                <w:rPr>
                                  <w:rFonts w:ascii="Cambria Math" w:hAnsi="Cambria Math"/>
                                </w:rPr>
                                <m:t>'</m:t>
                              </m:r>
                            </m:e>
                          </m:d>
                        </m:e>
                      </m:rad>
                    </m:e>
                  </m:d>
                </m:e>
                <m:sup>
                  <m:r>
                    <w:rPr>
                      <w:rFonts w:ascii="Cambria Math" w:hAnsi="Cambria Math"/>
                    </w:rPr>
                    <m:t>2</m:t>
                  </m:r>
                </m:sup>
              </m:sSup>
            </m:e>
          </m:nary>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e>
          </m:d>
          <m:r>
            <w:rPr>
              <w:rFonts w:ascii="Cambria Math" w:hAnsi="Cambria Math"/>
            </w:rPr>
            <m:t>  </m:t>
          </m:r>
          <m:d>
            <m:dPr>
              <m:ctrlPr>
                <w:rPr>
                  <w:rFonts w:ascii="Cambria Math" w:hAnsi="Cambria Math"/>
                </w:rPr>
              </m:ctrlPr>
            </m:dPr>
            <m:e>
              <m:r>
                <m:rPr>
                  <m:sty m:val="p"/>
                </m:rPr>
                <w:rPr>
                  <w:rFonts w:ascii="Cambria Math" w:hAnsi="Cambria Math"/>
                </w:rPr>
                <m:t>B3</m:t>
              </m:r>
            </m:e>
          </m:d>
        </m:oMath>
      </m:oMathPara>
    </w:p>
    <w:p w14:paraId="16EFC1FD" w14:textId="77777777" w:rsidR="004D3192" w:rsidRDefault="00000000">
      <w:r>
        <w:t>In this discrete-time, locally equivalent filtered experiment, the order-one-half Hellinger criterion states that</w:t>
      </w:r>
    </w:p>
    <w:p w14:paraId="06F1CFE5" w14:textId="77777777" w:rsidR="004D3192" w:rsidRDefault="00000000">
      <w:pPr>
        <w:keepLines/>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2</m:t>
                  </m:r>
                </m:sup>
              </m:sSubSup>
            </m:e>
          </m:nary>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e>
          </m:d>
          <m:r>
            <m:rPr>
              <m:sty m:val="p"/>
            </m:rPr>
            <w:rPr>
              <w:rFonts w:ascii="Cambria Math" w:hAnsi="Cambria Math"/>
            </w:rPr>
            <m:t>&lt;∞</m:t>
          </m:r>
          <m:r>
            <w:rPr>
              <w:rFonts w:ascii="Cambria Math" w:hAnsi="Cambria Math"/>
            </w:rPr>
            <m:t> Q</m:t>
          </m:r>
          <m:r>
            <m:rPr>
              <m:nor/>
            </m:rPr>
            <m:t>-almost surely</m:t>
          </m:r>
          <m:r>
            <w:rPr>
              <w:rFonts w:ascii="Cambria Math" w:hAnsi="Cambria Math"/>
            </w:rPr>
            <m:t>  </m:t>
          </m:r>
          <m:d>
            <m:dPr>
              <m:ctrlPr>
                <w:rPr>
                  <w:rFonts w:ascii="Cambria Math" w:hAnsi="Cambria Math"/>
                </w:rPr>
              </m:ctrlPr>
            </m:dPr>
            <m:e>
              <m:r>
                <m:rPr>
                  <m:sty m:val="p"/>
                </m:rPr>
                <w:rPr>
                  <w:rFonts w:ascii="Cambria Math" w:hAnsi="Cambria Math"/>
                </w:rPr>
                <m:t>B4</m:t>
              </m:r>
            </m:e>
          </m:d>
        </m:oMath>
      </m:oMathPara>
    </w:p>
    <w:p w14:paraId="05C13486" w14:textId="77777777" w:rsidR="004D3192" w:rsidRDefault="00000000">
      <w:r>
        <w:t>This is the discrete-time specialization of the filtered-space criterion in Jacod and Shiryaev (2003, Chapter IV) and Gabriyelyan (2011). Comparison-dominated separation and condition (5) give</w:t>
      </w:r>
    </w:p>
    <w:p w14:paraId="6008B239" w14:textId="77777777" w:rsidR="004D3192" w:rsidRDefault="00000000">
      <w:pPr>
        <w:keepLines/>
      </w:pPr>
      <m:oMathPara>
        <m:oMathParaPr>
          <m:jc m:val="center"/>
        </m:oMathParaPr>
        <m:oMath>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2</m:t>
                  </m:r>
                </m:sup>
              </m:sSubSup>
            </m:e>
          </m:nary>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sub>
          </m:sSub>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r>
                <w:rPr>
                  <w:rFonts w:ascii="Cambria Math" w:hAnsi="Cambria Math"/>
                </w:rPr>
                <m:t>β</m:t>
              </m:r>
            </m:e>
          </m:d>
          <m:r>
            <m:rPr>
              <m:sty m:val="p"/>
            </m:rPr>
            <w:rPr>
              <w:rFonts w:ascii="Cambria Math" w:hAnsi="Cambria Math"/>
            </w:rPr>
            <m:t>&lt;∞</m:t>
          </m:r>
          <m:r>
            <w:rPr>
              <w:rFonts w:ascii="Cambria Math" w:hAnsi="Cambria Math"/>
            </w:rPr>
            <m:t>  </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r>
            <m:rPr>
              <m:nor/>
            </m:rPr>
            <m:t>-almost surely</m:t>
          </m:r>
          <m:r>
            <m:rPr>
              <m:sty m:val="p"/>
            </m:rPr>
            <w:rPr>
              <w:rFonts w:ascii="Cambria Math" w:hAnsi="Cambria Math"/>
            </w:rPr>
            <m:t>.</m:t>
          </m:r>
        </m:oMath>
      </m:oMathPara>
    </w:p>
    <w:p w14:paraId="48AA21BA" w14:textId="77777777" w:rsidR="004D3192" w:rsidRDefault="00000000">
      <w:r>
        <w:t xml:space="preserve">Applying (B4) with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oMath>
      <w:r>
        <w:t xml:space="preserve"> and </w:t>
      </w:r>
      <m:oMath>
        <m:r>
          <w:rPr>
            <w:rFonts w:ascii="Cambria Math" w:hAnsi="Cambria Math"/>
          </w:rPr>
          <m:t>P</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oMath>
      <w:r>
        <w:t xml:space="preserve"> yields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oMath>
      <w:r>
        <w:t xml:space="preserve">. Reversing </w:t>
      </w:r>
      <m:oMath>
        <m:r>
          <w:rPr>
            <w:rFonts w:ascii="Cambria Math" w:hAnsi="Cambria Math"/>
          </w:rPr>
          <m:t>β</m:t>
        </m:r>
      </m:oMath>
      <w:r>
        <w:t xml:space="preserve"> and </w:t>
      </w:r>
      <m:oMath>
        <m:r>
          <w:rPr>
            <w:rFonts w:ascii="Cambria Math" w:hAnsi="Cambria Math"/>
          </w:rPr>
          <m:t>β</m:t>
        </m:r>
        <m:r>
          <m:rPr>
            <m:sty m:val="p"/>
          </m:rPr>
          <w:rPr>
            <w:rFonts w:ascii="Cambria Math" w:hAnsi="Cambria Math"/>
          </w:rPr>
          <m:t>'</m:t>
        </m:r>
      </m:oMath>
      <w:r>
        <w:t xml:space="preserve">, and using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r>
              <w:rPr>
                <w:rFonts w:ascii="Cambria Math" w:hAnsi="Cambria Math"/>
              </w:rPr>
              <m:t>β</m:t>
            </m:r>
            <m:r>
              <m:rPr>
                <m:sty m:val="p"/>
              </m:rPr>
              <w:rPr>
                <w:rFonts w:ascii="Cambria Math" w:hAnsi="Cambria Math"/>
              </w:rPr>
              <m:t>'</m:t>
            </m:r>
          </m:e>
        </m:d>
        <m:r>
          <m:rPr>
            <m:sty m:val="p"/>
          </m:rPr>
          <w:rPr>
            <w:rFonts w:ascii="Cambria Math" w:hAnsi="Cambria Math"/>
          </w:rPr>
          <m:t>&lt;∞</m:t>
        </m:r>
      </m:oMath>
      <w:r>
        <w:t xml:space="preserve">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oMath>
      <w:r>
        <w:t xml:space="preserve">-almost surely, gives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oMath>
      <w:r>
        <w:t>. Thus</w:t>
      </w:r>
    </w:p>
    <w:p w14:paraId="41DCC16D" w14:textId="77777777" w:rsidR="004D3192" w:rsidRDefault="00000000">
      <w:pPr>
        <w:keepLines/>
      </w:pPr>
      <m:oMathPara>
        <m:oMathParaPr>
          <m:jc m:val="center"/>
        </m:oMathParaP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r>
            <w:rPr>
              <w:rFonts w:ascii="Cambria Math" w:hAnsi="Cambria Math"/>
            </w:rPr>
            <m:t> </m:t>
          </m:r>
          <m:r>
            <m:rPr>
              <m:nor/>
            </m:rPr>
            <m:t xml:space="preserve">on </m:t>
          </m:r>
          <m:sSub>
            <m:sSubPr>
              <m:ctrlPr>
                <w:rPr>
                  <w:rFonts w:ascii="Cambria Math" w:hAnsi="Cambria Math"/>
                </w:rPr>
              </m:ctrlPr>
            </m:sSubPr>
            <m:e>
              <m:r>
                <m:rPr>
                  <m:scr m:val="script"/>
                  <m:sty m:val="p"/>
                </m:rPr>
                <w:rPr>
                  <w:rFonts w:ascii="Cambria Math" w:hAnsi="Cambria Math"/>
                </w:rPr>
                <m:t>F</m:t>
              </m:r>
            </m:e>
            <m:sub>
              <m:r>
                <m:rPr>
                  <m:sty m:val="p"/>
                </m:rPr>
                <w:rPr>
                  <w:rFonts w:ascii="Cambria Math" w:hAnsi="Cambria Math"/>
                </w:rPr>
                <m:t>∞</m:t>
              </m:r>
            </m:sub>
          </m:sSub>
          <m:r>
            <w:rPr>
              <w:rFonts w:ascii="Cambria Math" w:hAnsi="Cambria Math"/>
            </w:rPr>
            <m:t>  </m:t>
          </m:r>
          <m:d>
            <m:dPr>
              <m:ctrlPr>
                <w:rPr>
                  <w:rFonts w:ascii="Cambria Math" w:hAnsi="Cambria Math"/>
                </w:rPr>
              </m:ctrlPr>
            </m:dPr>
            <m:e>
              <m:r>
                <m:rPr>
                  <m:sty m:val="p"/>
                </m:rPr>
                <w:rPr>
                  <w:rFonts w:ascii="Cambria Math" w:hAnsi="Cambria Math"/>
                </w:rPr>
                <m:t>B5</m:t>
              </m:r>
            </m:e>
          </m:d>
        </m:oMath>
      </m:oMathPara>
    </w:p>
    <w:p w14:paraId="4CF538CE" w14:textId="77777777" w:rsidR="004D3192" w:rsidRDefault="00000000">
      <w:r>
        <w:t xml:space="preserve">For the estimator conclusion, let </w:t>
      </w:r>
      <m:oMath>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T</m:t>
            </m:r>
          </m:sub>
        </m:sSub>
      </m:oMath>
      <w:r>
        <w:t xml:space="preserve"> be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xml:space="preserve">-measurable and suppose </w:t>
      </w:r>
      <m:oMath>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T</m:t>
            </m:r>
          </m:sub>
        </m:sSub>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β</m:t>
            </m:r>
          </m:e>
        </m:d>
      </m:oMath>
      <w:r>
        <w:t xml:space="preserve"> in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oMath>
      <w:r>
        <w:t xml:space="preserve">-probability. For </w:t>
      </w:r>
      <m:oMath>
        <m:r>
          <w:rPr>
            <w:rFonts w:ascii="Cambria Math" w:hAnsi="Cambria Math"/>
          </w:rPr>
          <m:t>ϵ</m:t>
        </m:r>
        <m:r>
          <m:rPr>
            <m:sty m:val="p"/>
          </m:rPr>
          <w:rPr>
            <w:rFonts w:ascii="Cambria Math" w:hAnsi="Cambria Math"/>
          </w:rPr>
          <m:t>&gt;</m:t>
        </m:r>
        <m:r>
          <w:rPr>
            <w:rFonts w:ascii="Cambria Math" w:hAnsi="Cambria Math"/>
          </w:rPr>
          <m:t>0</m:t>
        </m:r>
      </m:oMath>
      <w:r>
        <w:t>, define</w:t>
      </w:r>
    </w:p>
    <w:p w14:paraId="7691183D" w14:textId="77777777" w:rsidR="004D3192" w:rsidRDefault="00000000">
      <w:pPr>
        <w:keepLines/>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ϵ</m:t>
              </m:r>
            </m:e>
          </m:d>
          <m:r>
            <m:rPr>
              <m:sty m:val="p"/>
            </m:rPr>
            <w:rPr>
              <w:rFonts w:ascii="Cambria Math" w:hAnsi="Cambria Math"/>
            </w:rPr>
            <m:t>=</m:t>
          </m:r>
          <m:d>
            <m:dPr>
              <m:begChr m:val="{"/>
              <m:endChr m:val="}"/>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T</m:t>
                      </m:r>
                    </m:sub>
                  </m:sSub>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β</m:t>
                      </m:r>
                    </m:e>
                  </m:d>
                </m:e>
              </m:d>
              <m:r>
                <m:rPr>
                  <m:sty m:val="p"/>
                </m:rPr>
                <w:rPr>
                  <w:rFonts w:ascii="Cambria Math" w:hAnsi="Cambria Math"/>
                </w:rPr>
                <m:t>&gt;</m:t>
              </m:r>
              <m:r>
                <w:rPr>
                  <w:rFonts w:ascii="Cambria Math" w:hAnsi="Cambria Math"/>
                </w:rPr>
                <m:t>ϵ</m:t>
              </m:r>
            </m:e>
          </m:d>
          <m:r>
            <m:rPr>
              <m:sty m:val="p"/>
            </m:rPr>
            <w:rPr>
              <w:rFonts w:ascii="Cambria Math" w:hAnsi="Cambria Math"/>
            </w:rPr>
            <m:t>.</m:t>
          </m:r>
        </m:oMath>
      </m:oMathPara>
    </w:p>
    <w:p w14:paraId="375BE175" w14:textId="77777777" w:rsidR="004D3192" w:rsidRDefault="00000000">
      <w:r>
        <w:t xml:space="preserve">Then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ϵ</m:t>
                </m:r>
              </m:e>
            </m:d>
          </m:e>
        </m:d>
        <m:r>
          <m:rPr>
            <m:sty m:val="p"/>
          </m:rPr>
          <w:rPr>
            <w:rFonts w:ascii="Cambria Math" w:hAnsi="Cambria Math"/>
          </w:rPr>
          <m:t>→</m:t>
        </m:r>
        <m:r>
          <w:rPr>
            <w:rFonts w:ascii="Cambria Math" w:hAnsi="Cambria Math"/>
          </w:rPr>
          <m:t>0</m:t>
        </m:r>
      </m:oMath>
      <w:r>
        <w:t xml:space="preserve">. Since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oMath>
      <w:r>
        <w:t xml:space="preserve">, absolute continuity implies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d>
              <m:dPr>
                <m:ctrlPr>
                  <w:rPr>
                    <w:rFonts w:ascii="Cambria Math" w:hAnsi="Cambria Math"/>
                  </w:rPr>
                </m:ctrlPr>
              </m:dPr>
              <m:e>
                <m:r>
                  <w:rPr>
                    <w:rFonts w:ascii="Cambria Math" w:hAnsi="Cambria Math"/>
                  </w:rPr>
                  <m:t>ϵ</m:t>
                </m:r>
              </m:e>
            </m:d>
          </m:e>
        </m:d>
        <m:r>
          <m:rPr>
            <m:sty m:val="p"/>
          </m:rPr>
          <w:rPr>
            <w:rFonts w:ascii="Cambria Math" w:hAnsi="Cambria Math"/>
          </w:rPr>
          <m:t>→</m:t>
        </m:r>
        <m:r>
          <w:rPr>
            <w:rFonts w:ascii="Cambria Math" w:hAnsi="Cambria Math"/>
          </w:rPr>
          <m:t>0</m:t>
        </m:r>
      </m:oMath>
      <w:r>
        <w:t xml:space="preserve">. The same estimator therefore converges to </w:t>
      </w:r>
      <m:oMath>
        <m:r>
          <w:rPr>
            <w:rFonts w:ascii="Cambria Math" w:hAnsi="Cambria Math"/>
          </w:rPr>
          <m:t>ψ</m:t>
        </m:r>
        <m:d>
          <m:dPr>
            <m:ctrlPr>
              <w:rPr>
                <w:rFonts w:ascii="Cambria Math" w:hAnsi="Cambria Math"/>
              </w:rPr>
            </m:ctrlPr>
          </m:dPr>
          <m:e>
            <m:r>
              <w:rPr>
                <w:rFonts w:ascii="Cambria Math" w:hAnsi="Cambria Math"/>
              </w:rPr>
              <m:t>β</m:t>
            </m:r>
          </m:e>
        </m:d>
      </m:oMath>
      <w:r>
        <w:t xml:space="preserve"> under </w:t>
      </w:r>
      <m:oMath>
        <m:r>
          <w:rPr>
            <w:rFonts w:ascii="Cambria Math" w:hAnsi="Cambria Math"/>
          </w:rPr>
          <m:t>β</m:t>
        </m:r>
        <m:r>
          <m:rPr>
            <m:sty m:val="p"/>
          </m:rPr>
          <w:rPr>
            <w:rFonts w:ascii="Cambria Math" w:hAnsi="Cambria Math"/>
          </w:rPr>
          <m:t>'</m:t>
        </m:r>
      </m:oMath>
      <w:r>
        <w:t xml:space="preserve"> and cannot also be consistent for a different value </w:t>
      </w:r>
      <m:oMath>
        <m:r>
          <w:rPr>
            <w:rFonts w:ascii="Cambria Math" w:hAnsi="Cambria Math"/>
          </w:rPr>
          <m:t>ψ</m:t>
        </m:r>
        <m:d>
          <m:dPr>
            <m:ctrlPr>
              <w:rPr>
                <w:rFonts w:ascii="Cambria Math" w:hAnsi="Cambria Math"/>
              </w:rPr>
            </m:ctrlPr>
          </m:dPr>
          <m:e>
            <m:r>
              <w:rPr>
                <w:rFonts w:ascii="Cambria Math" w:hAnsi="Cambria Math"/>
              </w:rPr>
              <m:t>β</m:t>
            </m:r>
            <m:r>
              <m:rPr>
                <m:sty m:val="p"/>
              </m:rPr>
              <w:rPr>
                <w:rFonts w:ascii="Cambria Math" w:hAnsi="Cambria Math"/>
              </w:rPr>
              <m:t>'</m:t>
            </m:r>
          </m:e>
        </m:d>
      </m:oMath>
      <w:r>
        <w:t>.</w:t>
      </w:r>
    </w:p>
    <w:p w14:paraId="5AE524BD" w14:textId="77777777" w:rsidR="004D3192" w:rsidRDefault="00000000">
      <w:r>
        <w:t xml:space="preserve">For testing, let the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xml:space="preserve">-measurable variable </w:t>
      </w:r>
      <m:oMath>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1</m:t>
        </m:r>
      </m:oMath>
      <w:r>
        <w:t xml:space="preserve"> denote rejection of </w:t>
      </w:r>
      <m:oMath>
        <m:r>
          <w:rPr>
            <w:rFonts w:ascii="Cambria Math" w:hAnsi="Cambria Math"/>
          </w:rPr>
          <m:t>β</m:t>
        </m:r>
      </m:oMath>
      <w:r>
        <w:t xml:space="preserve"> in favor of </w:t>
      </w:r>
      <m:oMath>
        <m:r>
          <w:rPr>
            <w:rFonts w:ascii="Cambria Math" w:hAnsi="Cambria Math"/>
          </w:rPr>
          <m:t>β</m:t>
        </m:r>
        <m:r>
          <m:rPr>
            <m:sty m:val="p"/>
          </m:rPr>
          <w:rPr>
            <w:rFonts w:ascii="Cambria Math" w:hAnsi="Cambria Math"/>
          </w:rPr>
          <m:t>'</m:t>
        </m:r>
      </m:oMath>
      <w:r>
        <w:t xml:space="preserve">. If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oMath>
      <w:r>
        <w:t xml:space="preserve">, absolute continuity implies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oMath>
      <w:r>
        <w:t xml:space="preserve">. Hence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T</m:t>
                </m:r>
              </m:sub>
            </m:sSub>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oMath>
      <w:r>
        <w:t xml:space="preserve">, so the type-II error tends to </w:t>
      </w:r>
      <w:proofErr w:type="gramStart"/>
      <w:r>
        <w:t>one</w:t>
      </w:r>
      <w:proofErr w:type="gramEnd"/>
      <w:r>
        <w:t>.</w:t>
      </w:r>
    </w:p>
    <w:p w14:paraId="23BF3B55" w14:textId="77777777" w:rsidR="004D3192" w:rsidRDefault="00000000">
      <w:r>
        <w:t xml:space="preserve">For confidence sets, choose </w:t>
      </w:r>
      <m:oMath>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with</w:t>
      </w:r>
    </w:p>
    <w:p w14:paraId="7A53E918" w14:textId="77777777" w:rsidR="004D3192" w:rsidRDefault="00000000">
      <w:pPr>
        <w:keepLines/>
      </w:pPr>
      <m:oMathPara>
        <m:oMathParaPr>
          <m:jc m:val="center"/>
        </m:oMathParaPr>
        <m:oMath>
          <m:r>
            <w:rPr>
              <w:rFonts w:ascii="Cambria Math" w:hAnsi="Cambria Math"/>
            </w:rPr>
            <m:t>Δ</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β</m:t>
                  </m:r>
                  <m:r>
                    <m:rPr>
                      <m:sty m:val="p"/>
                    </m:rPr>
                    <w:rPr>
                      <w:rFonts w:ascii="Cambria Math" w:hAnsi="Cambria Math"/>
                    </w:rPr>
                    <m:t>'</m:t>
                  </m:r>
                </m:e>
              </m:d>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002226EC" w14:textId="77777777" w:rsidR="004D3192" w:rsidRDefault="00000000">
      <w:r>
        <w:t xml:space="preserve">Suppose the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xml:space="preserve">-measurable random sets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have coverage tending to one at every parameter and </w:t>
      </w:r>
      <m:oMath>
        <m:sSub>
          <m:sSubPr>
            <m:ctrlPr>
              <w:rPr>
                <w:rFonts w:ascii="Cambria Math" w:hAnsi="Cambria Math"/>
              </w:rPr>
            </m:ctrlPr>
          </m:sSubPr>
          <m:e>
            <m:r>
              <m:rPr>
                <m:sty m:val="p"/>
              </m:rPr>
              <w:rPr>
                <w:rFonts w:ascii="Cambria Math" w:hAnsi="Cambria Math"/>
              </w:rPr>
              <m:t>diam</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r>
          <w:rPr>
            <w:rFonts w:ascii="Cambria Math" w:hAnsi="Cambria Math"/>
          </w:rPr>
          <m:t>0</m:t>
        </m:r>
      </m:oMath>
      <w:r>
        <w:t xml:space="preserve"> in probability at every parameter. Under </w:t>
      </w:r>
      <m:oMath>
        <m:r>
          <w:rPr>
            <w:rFonts w:ascii="Cambria Math" w:hAnsi="Cambria Math"/>
          </w:rPr>
          <m:t>β</m:t>
        </m:r>
      </m:oMath>
      <w:r>
        <w:t>, define</w:t>
      </w:r>
    </w:p>
    <w:p w14:paraId="393BE01C" w14:textId="77777777" w:rsidR="004D3192" w:rsidRDefault="00000000">
      <w:pPr>
        <w:keepLines/>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ψ</m:t>
              </m:r>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diam</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&lt;</m:t>
              </m:r>
              <m:f>
                <m:fPr>
                  <m:ctrlPr>
                    <w:rPr>
                      <w:rFonts w:ascii="Cambria Math" w:hAnsi="Cambria Math"/>
                    </w:rPr>
                  </m:ctrlPr>
                </m:fPr>
                <m:num>
                  <m:r>
                    <w:rPr>
                      <w:rFonts w:ascii="Cambria Math" w:hAnsi="Cambria Math"/>
                    </w:rPr>
                    <m:t>Δ</m:t>
                  </m:r>
                </m:num>
                <m:den>
                  <m:r>
                    <w:rPr>
                      <w:rFonts w:ascii="Cambria Math" w:hAnsi="Cambria Math"/>
                    </w:rPr>
                    <m:t>2</m:t>
                  </m:r>
                </m:den>
              </m:f>
            </m:e>
          </m:d>
          <m:r>
            <m:rPr>
              <m:sty m:val="p"/>
            </m:rPr>
            <w:rPr>
              <w:rFonts w:ascii="Cambria Math" w:hAnsi="Cambria Math"/>
            </w:rPr>
            <m:t>.</m:t>
          </m:r>
        </m:oMath>
      </m:oMathPara>
    </w:p>
    <w:p w14:paraId="49116ABD" w14:textId="77777777" w:rsidR="004D3192" w:rsidRDefault="00000000">
      <w:r>
        <w:lastRenderedPageBreak/>
        <w:t xml:space="preserve">Then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e>
        </m:d>
        <m:r>
          <m:rPr>
            <m:sty m:val="p"/>
          </m:rPr>
          <w:rPr>
            <w:rFonts w:ascii="Cambria Math" w:hAnsi="Cambria Math"/>
          </w:rPr>
          <m:t>→</m:t>
        </m:r>
        <m:r>
          <w:rPr>
            <w:rFonts w:ascii="Cambria Math" w:hAnsi="Cambria Math"/>
          </w:rPr>
          <m:t>1</m:t>
        </m:r>
      </m:oMath>
      <w:r>
        <w:t xml:space="preserve">. Equivalence implies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e>
        </m:d>
        <m:r>
          <m:rPr>
            <m:sty m:val="p"/>
          </m:rPr>
          <w:rPr>
            <w:rFonts w:ascii="Cambria Math" w:hAnsi="Cambria Math"/>
          </w:rPr>
          <m:t>→</m:t>
        </m:r>
        <m:r>
          <w:rPr>
            <w:rFonts w:ascii="Cambria Math" w:hAnsi="Cambria Math"/>
          </w:rPr>
          <m:t>1</m:t>
        </m:r>
      </m:oMath>
      <w:r>
        <w:t xml:space="preserve">. But on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the set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cannot contain </w:t>
      </w:r>
      <m:oMath>
        <m:r>
          <w:rPr>
            <w:rFonts w:ascii="Cambria Math" w:hAnsi="Cambria Math"/>
          </w:rPr>
          <m:t>ψ</m:t>
        </m:r>
        <m:d>
          <m:dPr>
            <m:ctrlPr>
              <w:rPr>
                <w:rFonts w:ascii="Cambria Math" w:hAnsi="Cambria Math"/>
              </w:rPr>
            </m:ctrlPr>
          </m:dPr>
          <m:e>
            <m:r>
              <w:rPr>
                <w:rFonts w:ascii="Cambria Math" w:hAnsi="Cambria Math"/>
              </w:rPr>
              <m:t>β</m:t>
            </m:r>
            <m:r>
              <m:rPr>
                <m:sty m:val="p"/>
              </m:rPr>
              <w:rPr>
                <w:rFonts w:ascii="Cambria Math" w:hAnsi="Cambria Math"/>
              </w:rPr>
              <m:t>'</m:t>
            </m:r>
          </m:e>
        </m:d>
      </m:oMath>
      <w:r>
        <w:t xml:space="preserve">, contradicting coverage under </w:t>
      </w:r>
      <m:oMath>
        <m:r>
          <w:rPr>
            <w:rFonts w:ascii="Cambria Math" w:hAnsi="Cambria Math"/>
          </w:rPr>
          <m:t>β</m:t>
        </m:r>
        <m:r>
          <m:rPr>
            <m:sty m:val="p"/>
          </m:rPr>
          <w:rPr>
            <w:rFonts w:ascii="Cambria Math" w:hAnsi="Cambria Math"/>
          </w:rPr>
          <m:t>'</m:t>
        </m:r>
      </m:oMath>
      <w:r>
        <w:t>. This proves the confidence-set conclusion.</w:t>
      </w:r>
    </w:p>
    <w:p w14:paraId="3C38B159" w14:textId="77777777" w:rsidR="00C218A9" w:rsidRDefault="00000000">
      <w:pPr>
        <w:pStyle w:val="Heading1"/>
      </w:pPr>
      <w:bookmarkStart w:id="4" w:name="appendix-c-finite-horizon-lower-bound"/>
      <w:bookmarkEnd w:id="3"/>
      <w:r>
        <w:t>Appendix C. Finite-Horizon Lower Bound</w:t>
      </w:r>
    </w:p>
    <w:p w14:paraId="65F87141" w14:textId="77777777" w:rsidR="00C218A9" w:rsidRDefault="00000000">
      <w:r>
        <w:t>The chain rule for conditional KL divergence gives</w:t>
      </w:r>
    </w:p>
    <w:p w14:paraId="071DC739"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P</m:t>
                  </m:r>
                </m:e>
                <m:sub>
                  <m:r>
                    <w:rPr>
                      <w:rFonts w:ascii="Cambria Math" w:hAnsi="Cambria Math"/>
                    </w:rPr>
                    <m:t>β</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w:rPr>
                      <w:rFonts w:ascii="Cambria Math" w:hAnsi="Cambria Math"/>
                    </w:rPr>
                    <m:t>β</m:t>
                  </m:r>
                  <m:r>
                    <m:rPr>
                      <m:sty m:val="p"/>
                    </m:rPr>
                    <w:rPr>
                      <w:rFonts w:ascii="Cambria Math" w:hAnsi="Cambria Math"/>
                    </w:rPr>
                    <m:t>'</m:t>
                  </m:r>
                </m:sub>
                <m:sup>
                  <m:r>
                    <w:rPr>
                      <w:rFonts w:ascii="Cambria Math" w:hAnsi="Cambria Math"/>
                    </w:rPr>
                    <m:t>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w:rPr>
                  <w:rFonts w:ascii="Cambria Math" w:hAnsi="Cambria Math"/>
                </w:rPr>
                <m:t>β</m:t>
              </m:r>
            </m:sub>
          </m:sSub>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D</m:t>
                  </m:r>
                </m:e>
                <m:sub>
                  <m:r>
                    <m:rPr>
                      <m:sty m:val="p"/>
                    </m:rPr>
                    <w:rPr>
                      <w:rFonts w:ascii="Cambria Math" w:hAnsi="Cambria Math"/>
                    </w:rPr>
                    <m:t>KL</m:t>
                  </m:r>
                </m:sub>
              </m:sSub>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β</m:t>
                  </m:r>
                  <m:r>
                    <m:rPr>
                      <m:sty m:val="p"/>
                    </m:rPr>
                    <w:rPr>
                      <w:rFonts w:ascii="Cambria Math" w:hAnsi="Cambria Math"/>
                    </w:rPr>
                    <m:t>'</m:t>
                  </m:r>
                </m:e>
              </m:d>
            </m:e>
          </m:d>
          <m:r>
            <m:rPr>
              <m:sty m:val="p"/>
            </m:rPr>
            <w:rPr>
              <w:rFonts w:ascii="Cambria Math" w:hAnsi="Cambria Math"/>
            </w:rPr>
            <m:t>.</m:t>
          </m:r>
        </m:oMath>
      </m:oMathPara>
    </w:p>
    <w:p w14:paraId="1C708BCF" w14:textId="77777777" w:rsidR="00C218A9" w:rsidRDefault="00000000">
      <w:r>
        <w:t xml:space="preserve">Appendix A and the chain rule prove (6). Set </w:t>
      </w:r>
      <m:oMath>
        <m:sSub>
          <m:e>
            <m:r>
              <w:rPr>
                <w:rFonts w:ascii="Cambria Math" w:hAnsi="Cambria Math"/>
              </w:rPr>
              <m:t>Δ</m:t>
            </m:r>
          </m:e>
          <m:sub>
            <m:r>
              <w:rPr>
                <w:rFonts w:ascii="Cambria Math" w:hAnsi="Cambria Math"/>
              </w:rPr>
              <m:t>ψ</m:t>
            </m:r>
          </m:sub>
        </m:sSub>
        <m:r>
          <w:rPr>
            <w:rFonts w:ascii="Cambria Math" w:hAnsi="Cambria Math"/>
          </w:rPr>
          <m:t xml:space="preserve"> = |ψ(β)−ψ(β′)|</m:t>
        </m:r>
      </m:oMath>
      <w:r>
        <w:t xml:space="preserve"> and </w:t>
      </w:r>
      <m:oMath>
        <m:sSub>
          <m:e>
            <m:d>
              <m:dPr>
                <m:begChr m:val="‖"/>
                <m:endChr m:val="‖"/>
              </m:dPr>
              <m:e>
                <m:r>
                  <w:rPr>
                    <w:rFonts w:ascii="Cambria Math" w:hAnsi="Cambria Math"/>
                  </w:rPr>
                  <m:t>P−Q</m:t>
                </m:r>
              </m:e>
            </m:d>
          </m:e>
          <m:sub>
            <m:r>
              <w:rPr>
                <w:rFonts w:ascii="Cambria Math" w:hAnsi="Cambria Math"/>
              </w:rPr>
              <m:t>TV</m:t>
            </m:r>
          </m:sub>
        </m:sSub>
        <m:r>
          <w:rPr>
            <w:rFonts w:ascii="Cambria Math" w:hAnsi="Cambria Math"/>
          </w:rPr>
          <m:t xml:space="preserve"> = </m:t>
        </m:r>
        <m:sSub>
          <m:e>
            <m:r>
              <m:rPr>
                <m:sty m:val="p"/>
              </m:rPr>
              <w:rPr>
                <w:rFonts w:ascii="Cambria Math" w:hAnsi="Cambria Math"/>
              </w:rPr>
              <m:t>sup</m:t>
            </m:r>
          </m:e>
          <m:sub>
            <m:r>
              <w:rPr>
                <w:rFonts w:ascii="Cambria Math" w:hAnsi="Cambria Math"/>
              </w:rPr>
              <m:t>A</m:t>
            </m:r>
          </m:sub>
        </m:sSub>
        <m:r>
          <w:rPr>
            <w:rFonts w:ascii="Cambria Math" w:hAnsi="Cambria Math"/>
          </w:rPr>
          <m:t>|P(A)−Q(A)|</m:t>
        </m:r>
      </m:oMath>
      <w:r>
        <w:t>. Le Cam’s two-point inequality gives</w:t>
      </w:r>
    </w:p>
    <w:p w14:paraId="24B03D39" w14:textId="77777777" w:rsidR="00C218A9" w:rsidRDefault="00000000">
      <w:pPr>
        <w:keepLines/>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ϑ</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lim>
          </m:limLow>
          <m:sSub>
            <m:sSubPr>
              <m:ctrlPr>
                <w:rPr>
                  <w:rFonts w:ascii="Cambria Math" w:hAnsi="Cambria Math"/>
                </w:rPr>
              </m:ctrlPr>
            </m:sSubPr>
            <m:e>
              <m:r>
                <m:rPr>
                  <m:scr m:val="double-struck"/>
                  <m:sty m:val="p"/>
                </m:rPr>
                <w:rPr>
                  <w:rFonts w:ascii="Cambria Math" w:hAnsi="Cambria Math"/>
                </w:rPr>
                <m:t>P</m:t>
              </m:r>
            </m:e>
            <m:sub>
              <m:r>
                <w:rPr>
                  <w:rFonts w:ascii="Cambria Math" w:hAnsi="Cambria Math"/>
                </w:rPr>
                <m:t>ϑ</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T</m:t>
                      </m:r>
                    </m:sub>
                  </m:sSub>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ϑ</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ψ</m:t>
                  </m:r>
                </m:sub>
              </m:sSub>
              <m:r>
                <m:rPr>
                  <m:sty m:val="p"/>
                </m:rPr>
                <w:rPr>
                  <w:rFonts w:ascii="Cambria Math" w:hAnsi="Cambria Math"/>
                </w:rPr>
                <m:t>/</m:t>
              </m:r>
              <m:r>
                <w:rPr>
                  <w:rFonts w:ascii="Cambria Math" w:hAnsi="Cambria Math"/>
                </w:rPr>
                <m:t>2</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P</m:t>
                  </m:r>
                </m:e>
                <m:sub>
                  <m:r>
                    <w:rPr>
                      <w:rFonts w:ascii="Cambria Math" w:hAnsi="Cambria Math"/>
                    </w:rPr>
                    <m:t>β</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up>
                  <m:r>
                    <w:rPr>
                      <w:rFonts w:ascii="Cambria Math" w:hAnsi="Cambria Math"/>
                    </w:rPr>
                    <m:t>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num>
            <m:den>
              <m:r>
                <w:rPr>
                  <w:rFonts w:ascii="Cambria Math" w:hAnsi="Cambria Math"/>
                </w:rPr>
                <m:t>2</m:t>
              </m:r>
            </m:den>
          </m:f>
          <m:r>
            <m:rPr>
              <m:sty m:val="p"/>
            </m:rPr>
            <w:rPr>
              <w:rFonts w:ascii="Cambria Math" w:hAnsi="Cambria Math"/>
            </w:rPr>
            <m:t>.</m:t>
          </m:r>
        </m:oMath>
      </m:oMathPara>
    </w:p>
    <w:p w14:paraId="18296FF4" w14:textId="77777777" w:rsidR="00C218A9" w:rsidRDefault="00000000">
      <w:r>
        <w:t>Pinsker's inequality gives</w:t>
      </w:r>
    </w:p>
    <w:p w14:paraId="08B8989E" w14:textId="77777777" w:rsidR="00C218A9" w:rsidRDefault="00000000">
      <w:pPr>
        <w:keepLines/>
      </w:pPr>
      <m:oMathPara>
        <m:oMathParaPr>
          <m:jc m:val="center"/>
        </m:oMathParaPr>
        <m:oMath>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P</m:t>
              </m:r>
            </m:e>
            <m:sub>
              <m:r>
                <w:rPr>
                  <w:rFonts w:ascii="Cambria Math" w:hAnsi="Cambria Math"/>
                </w:rPr>
                <m:t>β</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up>
              <m:r>
                <w:rPr>
                  <w:rFonts w:ascii="Cambria Math" w:hAnsi="Cambria Math"/>
                </w:rPr>
                <m:t>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D</m:t>
                  </m:r>
                </m:e>
                <m:sub>
                  <m:r>
                    <m:rPr>
                      <m:sty m:val="p"/>
                    </m:rPr>
                    <w:rPr>
                      <w:rFonts w:ascii="Cambria Math" w:hAnsi="Cambria Math"/>
                    </w:rPr>
                    <m:t>KL</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m:rPr>
                          <m:scr m:val="double-struck"/>
                          <m:sty m:val="p"/>
                        </m:rPr>
                        <w:rPr>
                          <w:rFonts w:ascii="Cambria Math" w:hAnsi="Cambria Math"/>
                        </w:rPr>
                        <m:t>P</m:t>
                      </m:r>
                    </m:e>
                    <m:sub>
                      <m:r>
                        <w:rPr>
                          <w:rFonts w:ascii="Cambria Math" w:hAnsi="Cambria Math"/>
                        </w:rPr>
                        <m:t>β</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P</m:t>
                      </m:r>
                    </m:e>
                    <m:sub>
                      <m:r>
                        <w:rPr>
                          <w:rFonts w:ascii="Cambria Math" w:hAnsi="Cambria Math"/>
                        </w:rPr>
                        <m:t>β</m:t>
                      </m:r>
                      <m:r>
                        <m:rPr>
                          <m:sty m:val="p"/>
                        </m:rPr>
                        <w:rPr>
                          <w:rFonts w:ascii="Cambria Math" w:hAnsi="Cambria Math"/>
                        </w:rPr>
                        <m:t>'</m:t>
                      </m:r>
                    </m:sub>
                    <m:sup>
                      <m:r>
                        <w:rPr>
                          <w:rFonts w:ascii="Cambria Math" w:hAnsi="Cambria Math"/>
                        </w:rPr>
                        <m:t>T</m:t>
                      </m:r>
                    </m:sup>
                  </m:sSubSup>
                </m:e>
              </m:d>
            </m:e>
          </m:rad>
          <m:r>
            <m:rPr>
              <m:sty m:val="p"/>
            </m:rPr>
            <w:rPr>
              <w:rFonts w:ascii="Cambria Math" w:hAnsi="Cambria Math"/>
            </w:rPr>
            <m:t>,</m:t>
          </m:r>
        </m:oMath>
      </m:oMathPara>
    </w:p>
    <w:p w14:paraId="2CC3A8FC" w14:textId="77777777" w:rsidR="00C218A9" w:rsidRDefault="00000000">
      <w:r>
        <w:t>which yields the two-point lower bound stated in Section 3 of the main article.</w:t>
      </w:r>
    </w:p>
    <w:p w14:paraId="69369F3D" w14:textId="77777777" w:rsidR="00C218A9" w:rsidRDefault="00000000">
      <w:r>
        <w:t xml:space="preserve">For the local bound, fix an interior </w:t>
      </w:r>
      <m:oMath>
        <m:sSub>
          <m:e>
            <m:r>
              <w:rPr>
                <w:rFonts w:ascii="Cambria Math" w:hAnsi="Cambria Math"/>
              </w:rPr>
              <m:t>β</m:t>
            </m:r>
          </m:e>
          <m:sub>
            <m:r>
              <w:rPr>
                <w:rFonts w:ascii="Cambria Math" w:hAnsi="Cambria Math"/>
              </w:rPr>
              <m:t>0</m:t>
            </m:r>
          </m:sub>
        </m:sSub>
      </m:oMath>
      <w:r>
        <w:t xml:space="preserve">, put </w:t>
      </w:r>
      <m:oMath>
        <m:sSub>
          <m:e>
            <m:r>
              <w:rPr>
                <w:rFonts w:ascii="Cambria Math" w:hAnsi="Cambria Math"/>
              </w:rPr>
              <m:t>b</m:t>
            </m:r>
          </m:e>
          <m:sub>
            <m:r>
              <w:rPr>
                <w:rFonts w:ascii="Cambria Math" w:hAnsi="Cambria Math"/>
              </w:rPr>
              <m:t>T</m:t>
            </m:r>
          </m:sub>
        </m:sSub>
        <m:r>
          <w:rPr>
            <w:rFonts w:ascii="Cambria Math" w:hAnsi="Cambria Math"/>
          </w:rPr>
          <m:t xml:space="preserve"> = </m:t>
        </m:r>
        <m:sSub>
          <m:e>
            <m:r>
              <m:rPr>
                <m:sty m:val="p"/>
              </m:rPr>
              <w:rPr>
                <w:rFonts w:ascii="Cambria Math" w:hAnsi="Cambria Math"/>
              </w:rPr>
              <m:t>E</m:t>
            </m:r>
          </m:e>
          <m:sub>
            <m:sSub>
              <m:e>
                <m:r>
                  <w:rPr>
                    <w:rFonts w:ascii="Cambria Math" w:hAnsi="Cambria Math"/>
                  </w:rPr>
                  <m:t>β</m:t>
                </m:r>
              </m:e>
              <m:sub>
                <m:r>
                  <w:rPr>
                    <w:rFonts w:ascii="Cambria Math" w:hAnsi="Cambria Math"/>
                  </w:rPr>
                  <m:t>0</m:t>
                </m:r>
              </m:sub>
            </m:sSub>
          </m:sub>
        </m:sSub>
        <m:sSub>
          <m:e>
            <m:r>
              <w:rPr>
                <w:rFonts w:ascii="Cambria Math" w:hAnsi="Cambria Math"/>
              </w:rPr>
              <m:t>B</m:t>
            </m:r>
          </m:e>
          <m:sub>
            <m:r>
              <w:rPr>
                <w:rFonts w:ascii="Cambria Math" w:hAnsi="Cambria Math"/>
              </w:rPr>
              <m:t>T</m:t>
            </m:r>
          </m:sub>
        </m:sSub>
        <m:r>
          <w:rPr>
            <w:rFonts w:ascii="Cambria Math" w:hAnsi="Cambria Math"/>
          </w:rPr>
          <m:t>(</m:t>
        </m:r>
        <m:sSub>
          <m:e>
            <m:r>
              <w:rPr>
                <w:rFonts w:ascii="Cambria Math" w:hAnsi="Cambria Math"/>
              </w:rPr>
              <m:t>β</m:t>
            </m:r>
          </m:e>
          <m:sub>
            <m:r>
              <w:rPr>
                <w:rFonts w:ascii="Cambria Math" w:hAnsi="Cambria Math"/>
              </w:rPr>
              <m:t>0</m:t>
            </m:r>
          </m:sub>
        </m:sSub>
        <m:r>
          <w:rPr>
            <w:rFonts w:ascii="Cambria Math" w:hAnsi="Cambria Math"/>
          </w:rPr>
          <m:t>) → ∞</m:t>
        </m:r>
      </m:oMath>
      <w:r>
        <w:t xml:space="preserve">, and choose a unit direction v with </w:t>
      </w:r>
      <m:oMath>
        <m:sSup>
          <m:e>
            <m:r>
              <w:rPr>
                <w:rFonts w:ascii="Cambria Math" w:hAnsi="Cambria Math"/>
              </w:rPr>
              <m:t>∇ψ(</m:t>
            </m:r>
            <m:sSub>
              <m:e>
                <m:r>
                  <w:rPr>
                    <w:rFonts w:ascii="Cambria Math" w:hAnsi="Cambria Math"/>
                  </w:rPr>
                  <m:t>β</m:t>
                </m:r>
              </m:e>
              <m:sub>
                <m:r>
                  <w:rPr>
                    <w:rFonts w:ascii="Cambria Math" w:hAnsi="Cambria Math"/>
                  </w:rPr>
                  <m:t>0</m:t>
                </m:r>
              </m:sub>
            </m:sSub>
            <m:r>
              <w:rPr>
                <w:rFonts w:ascii="Cambria Math" w:hAnsi="Cambria Math"/>
              </w:rPr>
              <m:t>)</m:t>
            </m:r>
          </m:e>
          <m:sup>
            <m:r>
              <w:rPr>
                <w:rFonts w:ascii="Cambria Math" w:hAnsi="Cambria Math"/>
              </w:rPr>
              <m:t>⊤</m:t>
            </m:r>
          </m:sup>
        </m:sSup>
        <m:r>
          <w:rPr>
            <w:rFonts w:ascii="Cambria Math" w:hAnsi="Cambria Math"/>
          </w:rPr>
          <m:t>v ≠ 0</m:t>
        </m:r>
      </m:oMath>
      <w:r>
        <w:t>. Set</w:t>
      </w:r>
    </w:p>
    <w:p w14:paraId="6F87E33D"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hv</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b</m:t>
                      </m:r>
                    </m:e>
                    <m:sub>
                      <m:r>
                        <w:rPr>
                          <w:rFonts w:ascii="Cambria Math" w:hAnsi="Cambria Math"/>
                        </w:rPr>
                        <m:t>T</m:t>
                      </m:r>
                    </m:sub>
                  </m:sSub>
                </m:e>
              </m:rad>
            </m:den>
          </m:f>
        </m:oMath>
      </m:oMathPara>
    </w:p>
    <w:p w14:paraId="4B259392" w14:textId="77777777" w:rsidR="00C218A9" w:rsidRDefault="00000000">
      <w:r>
        <w:t>with sufficiently small fixed h &gt; 0. Differentiability at β₀ gives</w:t>
      </w:r>
    </w:p>
    <w:p w14:paraId="7B9B1DFA" w14:textId="77777777" w:rsidR="00C218A9" w:rsidRDefault="00000000">
      <w:pPr>
        <w:keepLines/>
      </w:pPr>
      <m:oMathPara>
        <m:oMathParaPr>
          <m:jc m:val="center"/>
        </m:oMathParaPr>
        <m:oMath>
          <m:d>
            <m:dPr>
              <m:begChr m:val="|"/>
              <m:endChr m:val="|"/>
              <m:ctrlPr>
                <w:rPr>
                  <w:rFonts w:ascii="Cambria Math" w:hAnsi="Cambria Math"/>
                </w:rPr>
              </m:ctrlPr>
            </m:dPr>
            <m:e>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T</m:t>
                      </m:r>
                    </m:sub>
                  </m:sSub>
                </m:e>
              </m:d>
              <m:r>
                <m:rPr>
                  <m:sty m:val="p"/>
                </m:rPr>
                <w:rPr>
                  <w:rFonts w:ascii="Cambria Math" w:hAnsi="Cambria Math"/>
                </w:rPr>
                <m:t>-</m:t>
              </m:r>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e>
              </m:d>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ψ</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e>
                      </m:d>
                    </m:e>
                    <m:sup>
                      <m:r>
                        <m:rPr>
                          <m:sty m:val="p"/>
                        </m:rPr>
                        <w:rPr>
                          <w:rFonts w:ascii="Cambria Math" w:hAnsi="Cambria Math"/>
                        </w:rPr>
                        <m:t>⊤</m:t>
                      </m:r>
                    </m:sup>
                  </m:sSup>
                  <m:r>
                    <w:rPr>
                      <w:rFonts w:ascii="Cambria Math" w:hAnsi="Cambria Math"/>
                    </w:rPr>
                    <m:t>v</m:t>
                  </m:r>
                </m:e>
              </m:d>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b</m:t>
                      </m:r>
                    </m:e>
                    <m:sub>
                      <m:r>
                        <w:rPr>
                          <w:rFonts w:ascii="Cambria Math" w:hAnsi="Cambria Math"/>
                        </w:rPr>
                        <m:t>T</m:t>
                      </m:r>
                    </m:sub>
                  </m:sSub>
                </m:e>
              </m:rad>
            </m:den>
          </m:f>
          <m:r>
            <m:rPr>
              <m:sty m:val="p"/>
            </m:rPr>
            <w:rPr>
              <w:rFonts w:ascii="Cambria Math" w:hAnsi="Cambria Math"/>
            </w:rPr>
            <m:t>+</m:t>
          </m:r>
          <m:r>
            <w:rPr>
              <w:rFonts w:ascii="Cambria Math" w:hAnsi="Cambria Math"/>
            </w:rPr>
            <m:t>o</m:t>
          </m:r>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r>
            <m:rPr>
              <m:sty m:val="p"/>
            </m:rPr>
            <w:rPr>
              <w:rFonts w:ascii="Cambria Math" w:hAnsi="Cambria Math"/>
            </w:rPr>
            <m:t>.</m:t>
          </m:r>
        </m:oMath>
      </m:oMathPara>
    </w:p>
    <w:p w14:paraId="08DA0D24" w14:textId="77777777" w:rsidR="00C218A9" w:rsidRDefault="00000000">
      <w:r>
        <w:t xml:space="preserve">Equation (6) bounds KL by </w:t>
      </w:r>
      <m:oMath>
        <m:sSub>
          <m:e>
            <m:r>
              <w:rPr>
                <w:rFonts w:ascii="Cambria Math" w:hAnsi="Cambria Math"/>
              </w:rPr>
              <m:t>K</m:t>
            </m:r>
          </m:e>
          <m:sub>
            <m:r>
              <w:rPr>
                <w:rFonts w:ascii="Cambria Math" w:hAnsi="Cambria Math"/>
              </w:rPr>
              <m:t>X,Θ</m:t>
            </m:r>
          </m:sub>
        </m:sSub>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Choosing </w:t>
      </w:r>
      <m:oMath>
        <m:r>
          <w:rPr>
            <w:rFonts w:ascii="Cambria Math" w:hAnsi="Cambria Math"/>
          </w:rPr>
          <m:t>h</m:t>
        </m:r>
      </m:oMath>
      <w:r>
        <w:t xml:space="preserve"> small keeps total variation below one. The two-point inequality bounds maximal error probability away from zero at separation proportional to </w:t>
      </w:r>
      <m:oMath>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oMath>
      <w:r>
        <w:t xml:space="preserve"> over </w:t>
      </w:r>
      <m:oMath>
        <m:r>
          <w:rPr>
            <w:rFonts w:ascii="Cambria Math" w:hAnsi="Cambria Math"/>
          </w:rPr>
          <m:t>{</m:t>
        </m:r>
        <m:sSub>
          <m:e>
            <m:r>
              <w:rPr>
                <w:rFonts w:ascii="Cambria Math" w:hAnsi="Cambria Math"/>
              </w:rPr>
              <m:t>β</m:t>
            </m:r>
          </m:e>
          <m:sub>
            <m:r>
              <w:rPr>
                <w:rFonts w:ascii="Cambria Math" w:hAnsi="Cambria Math"/>
              </w:rPr>
              <m:t>0</m:t>
            </m:r>
          </m:sub>
        </m:sSub>
        <m:r>
          <w:rPr>
            <w:rFonts w:ascii="Cambria Math" w:hAnsi="Cambria Math"/>
          </w:rPr>
          <m:t xml:space="preserve">, </m:t>
        </m:r>
        <m:sSub>
          <m:e>
            <m:r>
              <w:rPr>
                <w:rFonts w:ascii="Cambria Math" w:hAnsi="Cambria Math"/>
              </w:rPr>
              <m:t>β</m:t>
            </m:r>
          </m:e>
          <m:sub>
            <m:r>
              <w:rPr>
                <w:rFonts w:ascii="Cambria Math" w:hAnsi="Cambria Math"/>
              </w:rPr>
              <m:t>T</m:t>
            </m:r>
          </m:sub>
        </m:sSub>
        <m:r>
          <w:rPr>
            <w:rFonts w:ascii="Cambria Math" w:hAnsi="Cambria Math"/>
          </w:rPr>
          <m:t>}</m:t>
        </m:r>
      </m:oMath>
      <w:r>
        <w:t>. This local minimax bound does not prohibit pointwise superefficiency.</w:t>
      </w:r>
    </w:p>
    <w:bookmarkEnd w:id="4"/>
    <w:p w14:paraId="3036C15F" w14:textId="77777777" w:rsidR="00C218A9" w:rsidRDefault="00000000">
      <w:pPr>
        <w:pStyle w:val="Heading1"/>
      </w:pPr>
      <w:r>
        <w:lastRenderedPageBreak/>
        <w:t>Appendix D. Strong Reinforcement</w:t>
      </w:r>
    </w:p>
    <w:p w14:paraId="3FA52231" w14:textId="77777777" w:rsidR="004D3192" w:rsidRDefault="00000000">
      <w:r>
        <w:t>Consider a finite set of agents with fixed verified-input profiles xᵢ. Let</w:t>
      </w:r>
    </w:p>
    <w:p w14:paraId="3D1D92FC"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r</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D1</m:t>
              </m:r>
            </m:e>
          </m:d>
        </m:oMath>
      </m:oMathPara>
    </w:p>
    <w:p w14:paraId="329C9794" w14:textId="77777777" w:rsidR="004D3192" w:rsidRDefault="00000000">
      <w:r>
        <w:t>Let a &gt; 0 and let g be positive and nondecreasing. Conditional allocation is</w:t>
      </w:r>
    </w:p>
    <w:p w14:paraId="3C6FCDED"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e>
              </m:d>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t</m:t>
                      </m:r>
                    </m:e>
                  </m:d>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r>
                        <m:rPr>
                          <m:sty m:val="p"/>
                        </m:rPr>
                        <w:rPr>
                          <w:rFonts w:ascii="Cambria Math" w:hAnsi="Cambria Math"/>
                        </w:rPr>
                        <m:t>⊤</m:t>
                      </m:r>
                    </m:sup>
                  </m:sSubSup>
                  <m:r>
                    <w:rPr>
                      <w:rFonts w:ascii="Cambria Math" w:hAnsi="Cambria Math"/>
                    </w:rPr>
                    <m:t>β</m:t>
                  </m:r>
                </m:e>
              </m:d>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d>
                    <m:dPr>
                      <m:ctrlPr>
                        <w:rPr>
                          <w:rFonts w:ascii="Cambria Math" w:hAnsi="Cambria Math"/>
                        </w:rPr>
                      </m:ctrlPr>
                    </m:dPr>
                    <m:e>
                      <m:r>
                        <w:rPr>
                          <w:rFonts w:ascii="Cambria Math" w:hAnsi="Cambria Math"/>
                        </w:rPr>
                        <m:t>t</m:t>
                      </m:r>
                    </m:e>
                  </m:d>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D2</m:t>
              </m:r>
            </m:e>
          </m:d>
        </m:oMath>
      </m:oMathPara>
    </w:p>
    <w:p w14:paraId="283BC9AD" w14:textId="77777777" w:rsidR="004D3192" w:rsidRDefault="00000000">
      <w:r>
        <w:t>Assume strong reinforcement:</w:t>
      </w:r>
    </w:p>
    <w:p w14:paraId="18B4BDC1" w14:textId="77777777" w:rsidR="00C218A9" w:rsidRDefault="00000000">
      <w:pPr>
        <w:keepLines/>
      </w:pPr>
      <m:oMathPara>
        <m:oMathParaPr>
          <m:jc m:val="center"/>
        </m:oMathParaPr>
        <m:oMath>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m</m:t>
                      </m:r>
                    </m:e>
                  </m:d>
                </m:den>
              </m:f>
            </m:e>
          </m:nary>
          <m:r>
            <m:rPr>
              <m:sty m:val="p"/>
            </m:rPr>
            <w:rPr>
              <w:rFonts w:ascii="Cambria Math" w:hAnsi="Cambria Math"/>
            </w:rPr>
            <m:t>&lt;∞.</m:t>
          </m:r>
          <m:r>
            <w:rPr>
              <w:rFonts w:ascii="Cambria Math" w:hAnsi="Cambria Math"/>
            </w:rPr>
            <m:t>  </m:t>
          </m:r>
          <m:d>
            <m:dPr>
              <m:ctrlPr>
                <w:rPr>
                  <w:rFonts w:ascii="Cambria Math" w:hAnsi="Cambria Math"/>
                </w:rPr>
              </m:ctrlPr>
            </m:dPr>
            <m:e>
              <m:r>
                <w:rPr>
                  <w:rFonts w:ascii="Cambria Math" w:hAnsi="Cambria Math"/>
                </w:rPr>
                <m:t>D3</m:t>
              </m:r>
            </m:e>
          </m:d>
        </m:oMath>
      </m:oMathPara>
    </w:p>
    <w:p w14:paraId="68E048A9" w14:textId="77777777" w:rsidR="004D3192" w:rsidRDefault="00000000">
      <w:r>
        <w:t>Write</w:t>
      </w:r>
    </w:p>
    <w:p w14:paraId="7F507A65"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4D747053" w14:textId="77777777" w:rsidR="00C218A9" w:rsidRDefault="00000000">
      <w:r>
        <w:t xml:space="preserve">For each agent </w:t>
      </w:r>
      <m:oMath>
        <m:r>
          <w:rPr>
            <w:rFonts w:ascii="Cambria Math" w:hAnsi="Cambria Math"/>
          </w:rPr>
          <m:t>i</m:t>
        </m:r>
      </m:oMath>
      <w:r>
        <w:t xml:space="preserve"> and occupancy level </w:t>
      </w:r>
      <m:oMath>
        <m:r>
          <w:rPr>
            <w:rFonts w:ascii="Cambria Math" w:hAnsi="Cambria Math"/>
          </w:rPr>
          <m:t>m</m:t>
        </m:r>
        <m:r>
          <m:rPr>
            <m:sty m:val="p"/>
          </m:rPr>
          <w:rPr>
            <w:rFonts w:ascii="Cambria Math" w:hAnsi="Cambria Math"/>
          </w:rPr>
          <m: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m</m:t>
            </m:r>
          </m:sub>
        </m:sSub>
      </m:oMath>
      <w:r>
        <w:t xml:space="preserve"> be </w:t>
      </w:r>
      <w:proofErr w:type="gramStart"/>
      <w:r>
        <w:t>independent</w:t>
      </w:r>
      <w:proofErr w:type="gramEnd"/>
      <w:r>
        <w:t xml:space="preserve"> exponential random variables with rate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m</m:t>
            </m:r>
          </m:e>
        </m:d>
      </m:oMath>
      <w:r>
        <w:t>, and define</w:t>
      </w:r>
    </w:p>
    <w:p w14:paraId="0705EEE8"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m:rPr>
                  <m:sty m:val="p"/>
                </m:rP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m</m:t>
                  </m:r>
                </m:sub>
              </m:sSub>
            </m:e>
          </m:nary>
          <m:r>
            <m:rPr>
              <m:sty m:val="p"/>
            </m:rPr>
            <w:rPr>
              <w:rFonts w:ascii="Cambria Math" w:hAnsi="Cambria Math"/>
            </w:rPr>
            <m:t>.</m:t>
          </m:r>
        </m:oMath>
      </m:oMathPara>
    </w:p>
    <w:p w14:paraId="09AAEA17" w14:textId="77777777" w:rsidR="00C218A9" w:rsidRDefault="00000000">
      <w:r>
        <w:t>Condition (D3) gives</w:t>
      </w:r>
    </w:p>
    <w:p w14:paraId="7CE3237B" w14:textId="77777777" w:rsidR="00C218A9" w:rsidRDefault="00000000">
      <w:pPr>
        <w:keepLines/>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m</m:t>
                      </m:r>
                    </m:e>
                  </m:d>
                </m:den>
              </m:f>
            </m:e>
          </m:nary>
          <m:r>
            <m:rPr>
              <m:sty m:val="p"/>
            </m:rPr>
            <w:rPr>
              <w:rFonts w:ascii="Cambria Math" w:hAnsi="Cambria Math"/>
            </w:rPr>
            <m:t>&lt;∞,</m:t>
          </m:r>
        </m:oMath>
      </m:oMathPara>
    </w:p>
    <w:p w14:paraId="30D52F8E" w14:textId="77777777" w:rsidR="00C218A9" w:rsidRDefault="00000000">
      <w:r>
        <w:t xml:space="preserve">so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&lt;∞</m:t>
        </m:r>
      </m:oMath>
      <w:r>
        <w:t xml:space="preserve"> almost surely. The variables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are independent and continuously distributed, so there is almost surely a unique minimizer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w:t>
      </w:r>
    </w:p>
    <w:p w14:paraId="7D8E1673" w14:textId="77777777" w:rsidR="00C218A9" w:rsidRDefault="00000000">
      <w:r>
        <w:lastRenderedPageBreak/>
        <w:t xml:space="preserve">The exponential-clock construction has the same embedded recipient sequence as equation (D2). Agent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experiences infinitely many clock rings by time </w:t>
      </w:r>
      <m:oMath>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Every other agent has only finitely many rings before that time. Hence all but finitely many discrete rewards go to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w:t>
      </w:r>
    </w:p>
    <w:p w14:paraId="4F003F00" w14:textId="77777777" w:rsidR="00C218A9" w:rsidRDefault="00000000">
      <w:r>
        <w:t xml:space="preserve">Let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denote the final count of loser </w:t>
      </w:r>
      <m:oMath>
        <m:r>
          <w:rPr>
            <w:rFonts w:ascii="Cambria Math" w:hAnsi="Cambria Math"/>
          </w:rPr>
          <m:t>j</m:t>
        </m:r>
      </m:oMath>
      <w:r>
        <w:t xml:space="preserve"> and let the winner's post-absorption count grow as </w:t>
      </w:r>
      <m:oMath>
        <m:r>
          <w:rPr>
            <w:rFonts w:ascii="Cambria Math" w:hAnsi="Cambria Math"/>
          </w:rPr>
          <m:t>m</m:t>
        </m:r>
      </m:oMath>
      <w:r>
        <w:t>. Then</w:t>
      </w:r>
    </w:p>
    <w:p w14:paraId="577DBB57" w14:textId="77777777" w:rsidR="00C218A9" w:rsidRDefault="00000000">
      <w:pPr>
        <w:keepLines/>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j</m:t>
                      </m:r>
                    </m:sub>
                  </m:sSub>
                </m:e>
              </m:nary>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e>
              </m:d>
            </m:num>
            <m:den>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m</m:t>
                  </m:r>
                </m:e>
              </m:d>
            </m:den>
          </m:f>
          <m:r>
            <m:rPr>
              <m:sty m:val="p"/>
            </m:rPr>
            <w:rPr>
              <w:rFonts w:ascii="Cambria Math" w:hAnsi="Cambria Math"/>
            </w:rPr>
            <m:t>.</m:t>
          </m:r>
        </m:oMath>
      </m:oMathPara>
    </w:p>
    <w:p w14:paraId="0D88D85E" w14:textId="77777777" w:rsidR="00C218A9" w:rsidRDefault="00000000">
      <w:r>
        <w:t xml:space="preserve">Summing over </w:t>
      </w:r>
      <m:oMath>
        <m:r>
          <w:rPr>
            <w:rFonts w:ascii="Cambria Math" w:hAnsi="Cambria Math"/>
          </w:rPr>
          <m:t>m</m:t>
        </m:r>
      </m:oMath>
      <w:r>
        <w:t xml:space="preserve"> and using condition (D3) gives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r>
              <w:rPr>
                <w:rFonts w:ascii="Cambria Math" w:hAnsi="Cambria Math"/>
              </w:rPr>
              <m:t>β</m:t>
            </m:r>
          </m:e>
        </m:d>
        <m:r>
          <m:rPr>
            <m:sty m:val="p"/>
          </m:rPr>
          <w:rPr>
            <w:rFonts w:ascii="Cambria Math" w:hAnsi="Cambria Math"/>
          </w:rPr>
          <m:t>&lt;∞</m:t>
        </m:r>
      </m:oMath>
      <w:r>
        <w:t xml:space="preserve"> almost surely.</w:t>
      </w:r>
    </w:p>
    <w:p w14:paraId="55E146DE" w14:textId="77777777" w:rsidR="004D3192" w:rsidRDefault="00000000">
      <w:r>
        <w:rPr>
          <w:b/>
          <w:bCs/>
        </w:rPr>
        <w:t>Direct common-support proof for strong reinforcement.</w:t>
      </w:r>
      <w:r>
        <w:t xml:space="preserve"> Let </w:t>
      </w:r>
      <m:oMath>
        <m:r>
          <m:rPr>
            <m:scr m:val="script"/>
            <m:sty m:val="p"/>
          </m:rPr>
          <w:rPr>
            <w:rFonts w:ascii="Cambria Math" w:hAnsi="Cambria Math"/>
          </w:rPr>
          <m:t>M</m:t>
        </m:r>
      </m:oMath>
      <w:r>
        <w:t xml:space="preserve"> be the countable set of eventually constant recipient histories. The absorption argument above gives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d>
          <m:dPr>
            <m:ctrlPr>
              <w:rPr>
                <w:rFonts w:ascii="Cambria Math" w:hAnsi="Cambria Math"/>
              </w:rPr>
            </m:ctrlPr>
          </m:dPr>
          <m:e>
            <m:r>
              <m:rPr>
                <m:scr m:val="script"/>
                <m:sty m:val="p"/>
              </m:rPr>
              <w:rPr>
                <w:rFonts w:ascii="Cambria Math" w:hAnsi="Cambria Math"/>
              </w:rPr>
              <m:t>M</m:t>
            </m:r>
          </m:e>
        </m:d>
        <m:r>
          <m:rPr>
            <m:sty m:val="p"/>
          </m:rPr>
          <w:rPr>
            <w:rFonts w:ascii="Cambria Math" w:hAnsi="Cambria Math"/>
          </w:rPr>
          <m:t>=</m:t>
        </m:r>
        <m:r>
          <w:rPr>
            <w:rFonts w:ascii="Cambria Math" w:hAnsi="Cambria Math"/>
          </w:rPr>
          <m:t>1</m:t>
        </m:r>
      </m:oMath>
      <w:r>
        <w:t xml:space="preserve"> for every finite </w:t>
      </w:r>
      <m:oMath>
        <m:r>
          <w:rPr>
            <w:rFonts w:ascii="Cambria Math" w:hAnsi="Cambria Math"/>
          </w:rPr>
          <m:t>β</m:t>
        </m:r>
      </m:oMath>
      <w:r>
        <w:t xml:space="preserve">. Fix </w:t>
      </w:r>
      <m:oMath>
        <m:r>
          <w:rPr>
            <w:rFonts w:ascii="Cambria Math" w:hAnsi="Cambria Math"/>
          </w:rPr>
          <m:t>ω</m:t>
        </m:r>
        <m:r>
          <m:rPr>
            <m:scr m:val="script"/>
            <m:sty m:val="p"/>
          </m:rPr>
          <w:rPr>
            <w:rFonts w:ascii="Cambria Math" w:hAnsi="Cambria Math"/>
          </w:rPr>
          <m:t>∈M</m:t>
        </m:r>
      </m:oMath>
      <w:r>
        <w:t xml:space="preserve">. Suppose that after a finite prefix ending at date </w:t>
      </w:r>
      <m:oMath>
        <m:r>
          <w:rPr>
            <w:rFonts w:ascii="Cambria Math" w:hAnsi="Cambria Math"/>
          </w:rPr>
          <m:t>T</m:t>
        </m:r>
      </m:oMath>
      <w:r>
        <w:t xml:space="preserve">, the history assigns every later reward to agent </w:t>
      </w:r>
      <m:oMath>
        <m:r>
          <w:rPr>
            <w:rFonts w:ascii="Cambria Math" w:hAnsi="Cambria Math"/>
          </w:rPr>
          <m:t>i</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d>
          <m:dPr>
            <m:ctrlPr>
              <w:rPr>
                <w:rFonts w:ascii="Cambria Math" w:hAnsi="Cambria Math"/>
              </w:rPr>
            </m:ctrlPr>
          </m:dPr>
          <m:e>
            <m:r>
              <w:rPr>
                <w:rFonts w:ascii="Cambria Math" w:hAnsi="Cambria Math"/>
              </w:rPr>
              <m:t>T</m:t>
            </m:r>
          </m:e>
        </m:d>
      </m:oMath>
      <w:r>
        <w:t>.</w:t>
      </w:r>
    </w:p>
    <w:p w14:paraId="3E689FBF" w14:textId="77777777" w:rsidR="004D3192" w:rsidRDefault="00000000">
      <w:r>
        <w:t xml:space="preserve">The finite prefix has strictly positive probability under every finite </w:t>
      </w:r>
      <m:oMath>
        <m:r>
          <w:rPr>
            <w:rFonts w:ascii="Cambria Math" w:hAnsi="Cambria Math"/>
          </w:rPr>
          <m:t>β</m:t>
        </m:r>
      </m:oMath>
      <w:r>
        <w:t xml:space="preserve">. Conditional on that prefix, the probability that agent </w:t>
      </w:r>
      <m:oMath>
        <m:r>
          <w:rPr>
            <w:rFonts w:ascii="Cambria Math" w:hAnsi="Cambria Math"/>
          </w:rPr>
          <m:t>i</m:t>
        </m:r>
      </m:oMath>
      <w:r>
        <w:t xml:space="preserve"> receives every later reward is</w:t>
      </w:r>
    </w:p>
    <w:p w14:paraId="4EC527D8" w14:textId="77777777" w:rsidR="004D3192" w:rsidRDefault="00000000">
      <w:pPr>
        <w:keepLines/>
      </w:pPr>
      <m:oMathPara>
        <m:oMathParaPr>
          <m:jc m:val="center"/>
        </m:oMathParaPr>
        <m:oMath>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m:rPr>
                  <m:sty m:val="p"/>
                </m:rP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m</m:t>
                      </m:r>
                    </m:e>
                  </m:d>
                </m:num>
                <m:den>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m</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j</m:t>
                          </m:r>
                        </m:sub>
                      </m:sSub>
                    </m:e>
                  </m:nary>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e>
                  </m:d>
                </m:den>
              </m:f>
            </m:e>
          </m:nary>
          <m:r>
            <m:rPr>
              <m:sty m:val="p"/>
            </m:rPr>
            <w:rPr>
              <w:rFonts w:ascii="Cambria Math" w:hAnsi="Cambria Math"/>
            </w:rPr>
            <m:t>.</m:t>
          </m:r>
        </m:oMath>
      </m:oMathPara>
    </w:p>
    <w:p w14:paraId="7C9671EA" w14:textId="77777777" w:rsidR="004D3192" w:rsidRDefault="00000000">
      <w:r>
        <w:t>Let</w:t>
      </w:r>
    </w:p>
    <w:p w14:paraId="329D2627" w14:textId="77777777" w:rsidR="004D3192" w:rsidRDefault="00000000">
      <w:pPr>
        <w:keepLines/>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β</m:t>
              </m:r>
              <m:r>
                <m:rPr>
                  <m:sty m:val="p"/>
                </m:rPr>
                <w:rPr>
                  <w:rFonts w:ascii="Cambria Math" w:hAnsi="Cambria Math"/>
                </w:rPr>
                <m:t>,</m:t>
              </m:r>
              <m:r>
                <w:rPr>
                  <w:rFonts w:ascii="Cambria Math" w:hAnsi="Cambria Math"/>
                </w:rPr>
                <m:t>ω</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j</m:t>
                  </m:r>
                </m:sub>
              </m:sSub>
            </m:e>
          </m:nary>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e>
          </m:d>
          <m:r>
            <m:rPr>
              <m:sty m:val="p"/>
            </m:rPr>
            <w:rPr>
              <w:rFonts w:ascii="Cambria Math" w:hAnsi="Cambria Math"/>
            </w:rPr>
            <m:t>.</m:t>
          </m:r>
        </m:oMath>
      </m:oMathPara>
    </w:p>
    <w:p w14:paraId="51CD81A8" w14:textId="77777777" w:rsidR="004D3192" w:rsidRDefault="00000000">
      <w:r>
        <w:t>The tail probability becomes</w:t>
      </w:r>
    </w:p>
    <w:p w14:paraId="53F3DB8D" w14:textId="77777777" w:rsidR="004D3192" w:rsidRDefault="00000000">
      <w:pPr>
        <w:keepLines/>
      </w:pPr>
      <m:oMathPara>
        <m:oMathParaPr>
          <m:jc m:val="center"/>
        </m:oMathParaPr>
        <m:oMath>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β</m:t>
                              </m:r>
                              <m:r>
                                <m:rPr>
                                  <m:sty m:val="p"/>
                                </m:rPr>
                                <w:rPr>
                                  <w:rFonts w:ascii="Cambria Math" w:hAnsi="Cambria Math"/>
                                </w:rPr>
                                <m:t>,</m:t>
                              </m:r>
                              <m:r>
                                <w:rPr>
                                  <w:rFonts w:ascii="Cambria Math" w:hAnsi="Cambria Math"/>
                                </w:rPr>
                                <m:t>ω</m:t>
                              </m:r>
                            </m:sub>
                          </m:sSub>
                        </m:num>
                        <m:den>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m</m:t>
                              </m:r>
                            </m:e>
                          </m:d>
                        </m:den>
                      </m:f>
                    </m:e>
                  </m:d>
                </m:e>
                <m:sup>
                  <m:r>
                    <m:rPr>
                      <m:sty m:val="p"/>
                    </m:rPr>
                    <w:rPr>
                      <w:rFonts w:ascii="Cambria Math" w:hAnsi="Cambria Math"/>
                    </w:rPr>
                    <m:t>-</m:t>
                  </m:r>
                  <m:r>
                    <w:rPr>
                      <w:rFonts w:ascii="Cambria Math" w:hAnsi="Cambria Math"/>
                    </w:rPr>
                    <m:t>1</m:t>
                  </m:r>
                </m:sup>
              </m:sSup>
            </m:e>
          </m:nary>
          <m:r>
            <m:rPr>
              <m:sty m:val="p"/>
            </m:rPr>
            <w:rPr>
              <w:rFonts w:ascii="Cambria Math" w:hAnsi="Cambria Math"/>
            </w:rPr>
            <m:t>.</m:t>
          </m:r>
        </m:oMath>
      </m:oMathPara>
    </w:p>
    <w:p w14:paraId="4D3AA20A" w14:textId="77777777" w:rsidR="004D3192" w:rsidRDefault="00000000">
      <w:r>
        <w:t>Condition (D3) implies</w:t>
      </w:r>
    </w:p>
    <w:p w14:paraId="5D673019" w14:textId="77777777" w:rsidR="004D3192" w:rsidRDefault="00000000">
      <w:pPr>
        <w:keepLines/>
      </w:pPr>
      <m:oMathPara>
        <m:oMathParaPr>
          <m:jc m:val="center"/>
        </m:oMathParaPr>
        <m:oMath>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r>
                <m:rPr>
                  <m:sty m:val="p"/>
                </m:rP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β</m:t>
                      </m:r>
                      <m:r>
                        <m:rPr>
                          <m:sty m:val="p"/>
                        </m:rPr>
                        <w:rPr>
                          <w:rFonts w:ascii="Cambria Math" w:hAnsi="Cambria Math"/>
                        </w:rPr>
                        <m:t>,</m:t>
                      </m:r>
                      <m:r>
                        <w:rPr>
                          <w:rFonts w:ascii="Cambria Math" w:hAnsi="Cambria Math"/>
                        </w:rPr>
                        <m:t>ω</m:t>
                      </m:r>
                    </m:sub>
                  </m:sSub>
                </m:num>
                <m:den>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m</m:t>
                      </m:r>
                    </m:e>
                  </m:d>
                </m:den>
              </m:f>
            </m:e>
          </m:nary>
          <m:r>
            <m:rPr>
              <m:sty m:val="p"/>
            </m:rPr>
            <w:rPr>
              <w:rFonts w:ascii="Cambria Math" w:hAnsi="Cambria Math"/>
            </w:rPr>
            <m:t>&lt;∞.</m:t>
          </m:r>
        </m:oMath>
      </m:oMathPara>
    </w:p>
    <w:p w14:paraId="5AAD2072" w14:textId="77777777" w:rsidR="004D3192" w:rsidRDefault="00000000">
      <w:r>
        <w:t xml:space="preserve">The infinite-product criterion therefore makes the tail probability strictly positive. Hence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d>
          <m:dPr>
            <m:ctrlPr>
              <w:rPr>
                <w:rFonts w:ascii="Cambria Math" w:hAnsi="Cambria Math"/>
              </w:rPr>
            </m:ctrlPr>
          </m:dPr>
          <m:e>
            <m:r>
              <m:rPr>
                <m:sty m:val="p"/>
              </m:rPr>
              <w:rPr>
                <w:rFonts w:ascii="Cambria Math" w:hAnsi="Cambria Math"/>
              </w:rPr>
              <m:t>{</m:t>
            </m:r>
            <m:r>
              <w:rPr>
                <w:rFonts w:ascii="Cambria Math" w:hAnsi="Cambria Math"/>
              </w:rPr>
              <m:t>ω</m:t>
            </m:r>
            <m:r>
              <m:rPr>
                <m:sty m:val="p"/>
              </m:rPr>
              <w:rPr>
                <w:rFonts w:ascii="Cambria Math" w:hAnsi="Cambria Math"/>
              </w:rPr>
              <m:t>}</m:t>
            </m:r>
          </m:e>
        </m:d>
        <m:r>
          <m:rPr>
            <m:sty m:val="p"/>
          </m:rPr>
          <w:rPr>
            <w:rFonts w:ascii="Cambria Math" w:hAnsi="Cambria Math"/>
          </w:rPr>
          <m:t>&gt;</m:t>
        </m:r>
        <m:r>
          <w:rPr>
            <w:rFonts w:ascii="Cambria Math" w:hAnsi="Cambria Math"/>
          </w:rPr>
          <m:t>0</m:t>
        </m:r>
      </m:oMath>
      <w:r>
        <w:t xml:space="preserve"> for every </w:t>
      </w:r>
      <m:oMath>
        <m:r>
          <w:rPr>
            <w:rFonts w:ascii="Cambria Math" w:hAnsi="Cambria Math"/>
          </w:rPr>
          <m:t>ω</m:t>
        </m:r>
        <m:r>
          <m:rPr>
            <m:scr m:val="script"/>
            <m:sty m:val="p"/>
          </m:rPr>
          <w:rPr>
            <w:rFonts w:ascii="Cambria Math" w:hAnsi="Cambria Math"/>
          </w:rPr>
          <m:t>∈M</m:t>
        </m:r>
      </m:oMath>
      <w:r>
        <w:t xml:space="preserve"> and every finite </w:t>
      </w:r>
      <m:oMath>
        <m:r>
          <w:rPr>
            <w:rFonts w:ascii="Cambria Math" w:hAnsi="Cambria Math"/>
          </w:rPr>
          <m:t>β</m:t>
        </m:r>
      </m:oMath>
      <w:r>
        <w:t xml:space="preserve">. Since every </w:t>
      </w:r>
      <m:oMath>
        <m:sSub>
          <m:sSubPr>
            <m:ctrlPr>
              <w:rPr>
                <w:rFonts w:ascii="Cambria Math" w:hAnsi="Cambria Math"/>
              </w:rPr>
            </m:ctrlPr>
          </m:sSubPr>
          <m:e>
            <m:r>
              <m:rPr>
                <m:scr m:val="double-struck"/>
                <m:sty m:val="p"/>
              </m:rPr>
              <w:rPr>
                <w:rFonts w:ascii="Cambria Math" w:hAnsi="Cambria Math"/>
              </w:rPr>
              <m:t>P</m:t>
            </m:r>
          </m:e>
          <m:sub>
            <m:r>
              <w:rPr>
                <w:rFonts w:ascii="Cambria Math" w:hAnsi="Cambria Math"/>
              </w:rPr>
              <m:t>β</m:t>
            </m:r>
          </m:sub>
        </m:sSub>
      </m:oMath>
      <w:r>
        <w:t xml:space="preserve"> assigns probability one to the same countable set and positive probability to every atom in that set, the strong-reinforcement laws have the same positive atomic support and are mutually absolutely continuous. This independently proves the strong-reinforcement result and its estimator and testing consequences stated in the main article.</w:t>
      </w:r>
    </w:p>
    <w:p w14:paraId="3EC2AECC" w14:textId="77777777" w:rsidR="004D3192" w:rsidRDefault="00000000">
      <w:pPr>
        <w:pStyle w:val="Heading1"/>
      </w:pPr>
      <w:r>
        <w:t>Appendix E. Auxiliary Results</w:t>
      </w:r>
    </w:p>
    <w:p w14:paraId="4DB8ABD7" w14:textId="77777777" w:rsidR="004D3192" w:rsidRDefault="00000000">
      <w:pPr>
        <w:pStyle w:val="Heading2"/>
      </w:pPr>
      <w:r>
        <w:t>E.1 Independent replication</w:t>
      </w:r>
    </w:p>
    <w:p w14:paraId="40A527E1" w14:textId="77777777" w:rsidR="004D3192" w:rsidRDefault="00000000">
      <w:r>
        <w:t>Observe M independent copies of the β-market through fixed horizon L. Assume Θ is compact, finite-history probabilities are continuous and strictly positive in β, and the history law identifies β. Finitely many outcomes give uniform convergence of log likelihoods; Gibbs’ inequality gives a unique population maximizer. Maximum likelihood is consistent as M → ∞.</w:t>
      </w:r>
    </w:p>
    <w:p w14:paraId="1AF7B53D" w14:textId="77777777" w:rsidR="004D3192" w:rsidRDefault="00000000">
      <w:pPr>
        <w:pStyle w:val="Heading2"/>
      </w:pPr>
      <w:r>
        <w:t>E.2 Contribution-position invariance</w:t>
      </w:r>
    </w:p>
    <w:p w14:paraId="2BF0981D" w14:textId="77777777" w:rsidR="004D3192" w:rsidRDefault="00000000">
      <w:r>
        <w:t>For fixed profiles and admissible transformed parameters, replacing β by β + d and λᵢ by λᵢ − xᵢᵀd leaves xᵢᵀβ + λᵢ unchanged. Hence every allocation probability and history law is unchanged. Time-varying within-agent input variation can break this gauge because one fixed λᵢ need not absorb all xᵢₜᵀd.</w:t>
      </w:r>
    </w:p>
    <w:sectPr w:rsidR="004D3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4779</Words>
  <Characters>29439</Characters>
  <Application>Microsoft Office Word</Application>
  <DocSecurity>0</DocSecurity>
  <Lines>498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Futures: Contribution Uncertainty and the Self-Reinforcing Market</dc:title>
  <dc:subject>Comparison budgets, single-history attribution, and self-reinforcing markets</dc:subject>
  <dc:creator>Martin Erlic</dc:creator>
  <cp:keywords>increasing returns; path dependence; identification; cumulative advantage; monopoly; antitrust; taxation; redistribution</cp:keywords>
  <dc:description>Concise main article with complete technical appendix.</dc:description>
  <cp:lastModifiedBy>Martin Erlic</cp:lastModifiedBy>
  <cp:revision>2</cp:revision>
  <cp:lastPrinted>2026-07-22T01:38:00Z</cp:lastPrinted>
  <dcterms:created xsi:type="dcterms:W3CDTF">2026-07-22T01:45:00Z</dcterms:created>
  <dcterms:modified xsi:type="dcterms:W3CDTF">2026-10-08T12:00:00Z</dcterms:modified>
</cp:coreProperties>
</file>