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PHASE II: INNOVATION - Leveraging IBM Cognos for Analyzing COVID-19 Cases and Deaths Data in the EU/EEA</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an era marked by the persistent threat of the COVID-19 pandemic, the need for comprehensive and data-driven analysis has never been more critical. Leveraging the power of IBM Cognos, the "Analyzing COVID-19 Cases and Deaths Data in the EU/EEA" project aims to revolutionize the assessment and management of pandemic-related data in the European Union and European Economic Area.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initiative represents a significant step towards informed decision-making and resource allocation, using advanced data analysis tools to dissect and enhance our understanding of the COVID-19 situation. By harnessing the wealth of information contained within the provided dataset, this project endeavors to uncover hidden patterns, predict disease trends, and ultimately contribute to more effective response strategies.</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COVID-19 pandemic has presented a multitude of challenges in the European Union and European Economic Area, including: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Data Complexity: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Managing and analyzing the vast amounts of COVID-19 cases and deaths data in the EU/EEA is a complex and resource-intensive task.</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Timely Decision-Making: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Rapid and informed decision-making is crucial in the face of a dynamic and evolving pandemic situation.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Resource Allocation: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Allocating resources effectively, such as medical supplies and personnel, is vital to managing the crisis efficiently.</w:t>
      </w:r>
    </w:p>
    <w:p w:rsidR="00000000" w:rsidDel="00000000" w:rsidP="00000000" w:rsidRDefault="00000000" w:rsidRPr="00000000" w14:paraId="00000011">
      <w:pPr>
        <w:rPr>
          <w:sz w:val="24"/>
          <w:szCs w:val="24"/>
        </w:rPr>
      </w:pPr>
      <w:r w:rsidDel="00000000" w:rsidR="00000000" w:rsidRPr="00000000">
        <w:rPr>
          <w:sz w:val="24"/>
          <w:szCs w:val="24"/>
          <w:rtl w:val="0"/>
        </w:rPr>
        <w:t xml:space="preserve">This project aims to harness the capabilities of IBM Cognos to address these challenges by providing a comprehensive data analytics solution.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the Innovation phase of the "Analyzing COVID-19 Cases and Deaths Data in the EU/EEA" project, we will transition from the planning stage and begin to implement and execute the strategies and methodologies developed in the previous phase. Our focus is on transforming our data analysis concepts into actionable solutions for addressing the identified problem statement.</w:t>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Innovation Phase Objectives</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Innovation Phase of the "Analyzing COVID-19 Cases and Deaths Data in the EU/EEA" project aims to achieve the following objectives: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advanced data analytics models to predict COVID-19 spread and identify potential hotspots.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dynamic data dashboards in IBM Cognos for real-time monitoring of COVID-19 trends.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timely decision-making by providing key stakeholders with up-to-date and actionable insights.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Optimize resource allocation by identifying areas with the highest need for medical supplies and healthcare personnel.</w:t>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Key Steps in the Innovation Phase</w:t>
      </w:r>
    </w:p>
    <w:p w:rsidR="00000000" w:rsidDel="00000000" w:rsidP="00000000" w:rsidRDefault="00000000" w:rsidRPr="00000000" w14:paraId="0000001E">
      <w:pPr>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Data Preprocessing and Cleansing: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initial step involves thorough data cleaning and preprocessing. This includes handling missing data, outliers, and ensuring data consistency.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Advanced Analytics Model Development: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Advanced data analytics models are developed using IBM Cognos to predict COVID-19 spread, assess its impact on healthcare systems, and identify potential hotspots.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Dashboard Creation: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Dynamic and interactive data dashboards are created in IBM Cognos to provide stakeholders with real-time monitoring capabilities. These dashboards allow users to explore data, visualize trends, and make informed decisions.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Timely Decision Support: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developed analytics models and dashboards provide timely decision support, enabling authorities to respond quickly to changing pandemic dynamics.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Resource Allocation 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identifies areas with the highest need for medical supplies and healthcare personnel, facilitating more efficient resource allocation.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Reporting and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Thorough documentation is maintained throughout the Innovation Phase, including model development, dashboard creation, and performance metrics.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 Training and Feedback: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are trained to effectively use the IBM Cognos dashboards and provide feedback for continuous improvement.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Scalability and Expansion: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potential for expanding the use of IBM Cognos for COVID-19 data analysis to other regions or countries is assessed.</w:t>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Unique Features of the Innovation Phase</w:t>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Data Analysis: Leveraging IBM Cognos allows for real-time data analysis, ensuring that decision-makers have access to the most current information.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Customized Data Dashboards: The project prioritizes the creation of customized data dashboards to cater to the specific needs of EU/EEA authorities.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Predictive Modeling: Advanced analytics models enable predictive modeling, which is crucial for proactive decision-making.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Allocation Optimization: The system includes features to optimize resource allocation, ensuring that critical supplies are allocated where they are most needed.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Training and Feedback Loop: User training and feedback mechanisms are in place to ensure that stakeholders can effectively use the tools and provide insights for refinement.</w:t>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Innovation Phase of the "Analyzing COVID-19 Cases and Deaths Data in the EU/EEA" project holds immense promise in enhancing the region's ability to respond to the ongoing pandemic. By harnessing the capabilities of IBM Cognos, this initiative is well-positioned to provide actionable insights, predictive modeling, and real-time data analysis. With the potential for scalability and expansion, the project can contribute not only to the EU/EEA but also serve as a model for other regions facing similar challenges. In a time of crisis, data-driven solutions are invaluable, and this project is at the forefront of applying innovative technology to address a pressing global issue.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Team members of the project:</w:t>
      </w:r>
    </w:p>
    <w:p w:rsidR="00000000" w:rsidDel="00000000" w:rsidP="00000000" w:rsidRDefault="00000000" w:rsidRPr="00000000" w14:paraId="00000040">
      <w:pPr>
        <w:rPr/>
      </w:pPr>
      <w:r w:rsidDel="00000000" w:rsidR="00000000" w:rsidRPr="00000000">
        <w:rPr>
          <w:rtl w:val="0"/>
        </w:rPr>
        <w:t xml:space="preserve"> Sibi. P</w:t>
      </w:r>
    </w:p>
    <w:p w:rsidR="00000000" w:rsidDel="00000000" w:rsidP="00000000" w:rsidRDefault="00000000" w:rsidRPr="00000000" w14:paraId="00000041">
      <w:pPr>
        <w:rPr/>
      </w:pPr>
      <w:r w:rsidDel="00000000" w:rsidR="00000000" w:rsidRPr="00000000">
        <w:rPr>
          <w:rtl w:val="0"/>
        </w:rPr>
        <w:t xml:space="preserve"> Sarathi Vasan. S </w:t>
      </w:r>
    </w:p>
    <w:p w:rsidR="00000000" w:rsidDel="00000000" w:rsidP="00000000" w:rsidRDefault="00000000" w:rsidRPr="00000000" w14:paraId="00000042">
      <w:pPr>
        <w:rPr>
          <w:b w:val="1"/>
        </w:rPr>
      </w:pPr>
      <w:r w:rsidDel="00000000" w:rsidR="00000000" w:rsidRPr="00000000">
        <w:rPr>
          <w:b w:val="1"/>
          <w:rtl w:val="0"/>
        </w:rPr>
        <w:t xml:space="preserve">Shreesh Anantharaj </w:t>
      </w:r>
    </w:p>
    <w:p w:rsidR="00000000" w:rsidDel="00000000" w:rsidP="00000000" w:rsidRDefault="00000000" w:rsidRPr="00000000" w14:paraId="00000043">
      <w:pPr>
        <w:rPr/>
      </w:pPr>
      <w:r w:rsidDel="00000000" w:rsidR="00000000" w:rsidRPr="00000000">
        <w:rPr>
          <w:rtl w:val="0"/>
        </w:rPr>
        <w:t xml:space="preserve">Selva Rathinam. M </w:t>
      </w:r>
    </w:p>
    <w:p w:rsidR="00000000" w:rsidDel="00000000" w:rsidP="00000000" w:rsidRDefault="00000000" w:rsidRPr="00000000" w14:paraId="00000044">
      <w:pPr>
        <w:rPr/>
      </w:pPr>
      <w:r w:rsidDel="00000000" w:rsidR="00000000" w:rsidRPr="00000000">
        <w:rPr>
          <w:rtl w:val="0"/>
        </w:rPr>
        <w:t xml:space="preserve">Vikram. R</w:t>
      </w:r>
    </w:p>
    <w:p w:rsidR="00000000" w:rsidDel="00000000" w:rsidP="00000000" w:rsidRDefault="00000000" w:rsidRPr="00000000" w14:paraId="0000004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