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88" w:lineRule="auto"/>
      </w:pPr>
    </w:p>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one-accord-cpm-logo.png"/>
                    <pic:cNvPicPr/>
                  </pic:nvPicPr>
                  <pic:blipFill>
                    <a:blip r:embed="rId11"/>
                    <a:stretch>
                      <a:fillRect/>
                    </a:stretch>
                  </pic:blipFill>
                  <pic:spPr>
                    <a:xfrm>
                      <a:off x="0" y="0"/>
                      <a:ext cx="1828800" cy="1828800"/>
                    </a:xfrm>
                    <a:prstGeom prst="rect"/>
                  </pic:spPr>
                </pic:pic>
              </a:graphicData>
            </a:graphic>
          </wp:inline>
        </w:drawing>
      </w:r>
    </w:p>
    <w:p>
      <w:pPr>
        <w:spacing w:before="0" w:after="160" w:line="288" w:lineRule="auto"/>
        <w:jc w:val="center"/>
      </w:pPr>
      <w:r>
        <w:rPr>
          <w:rFonts w:ascii="Calibri" w:hAnsi="Calibri"/>
          <w:b/>
          <w:i w:val="0"/>
          <w:color w:val="C4911C"/>
          <w:sz w:val="24"/>
        </w:rPr>
        <w:t>ONE ACCORD CPM</w:t>
      </w:r>
    </w:p>
    <w:p>
      <w:pPr>
        <w:spacing w:before="0" w:after="120" w:line="240" w:lineRule="auto"/>
        <w:jc w:val="center"/>
      </w:pPr>
      <w:r>
        <w:rPr>
          <w:rFonts w:ascii="Calibri" w:hAnsi="Calibri"/>
          <w:b/>
          <w:i w:val="0"/>
          <w:color w:val="062352"/>
          <w:sz w:val="58"/>
        </w:rPr>
        <w:t>Building a Churchwide Prayer Culture</w:t>
      </w:r>
    </w:p>
    <w:p>
      <w:pPr>
        <w:spacing w:before="0" w:after="440" w:line="288" w:lineRule="auto"/>
        <w:jc w:val="center"/>
      </w:pPr>
      <w:r>
        <w:rPr>
          <w:rFonts w:ascii="Calibri" w:hAnsi="Calibri"/>
          <w:b w:val="0"/>
          <w:i w:val="0"/>
          <w:color w:val="535862"/>
          <w:sz w:val="28"/>
        </w:rPr>
        <w:t>A practical guide to unified, specific, and sustained corporate prayer.</w:t>
      </w:r>
    </w:p>
    <w:tbl>
      <w:tblPr>
        <w:tblW w:type="auto" w:w="0"/>
        <w:jc w:val="center"/>
        <w:tblLayout w:type="fixed"/>
        <w:tblLook w:firstColumn="1" w:firstRow="1" w:lastColumn="0" w:lastRow="0" w:noHBand="0" w:noVBand="1" w:val="04A0"/>
      </w:tblPr>
      <w:tblGrid>
        <w:gridCol w:w="9072"/>
      </w:tblGrid>
      <w:tr>
        <w:tc>
          <w:tcPr>
            <w:tcW w:type="dxa" w:w="9792"/>
            <w:shd w:fill="FFF7E6"/>
            <w:tcBorders>
              <w:top w:val="single" w:sz="4" w:space="0" w:color="D7DEE8"/>
              <w:left w:val="single" w:sz="4" w:space="0" w:color="D7DEE8"/>
              <w:bottom w:val="single" w:sz="4" w:space="0" w:color="D7DEE8"/>
              <w:right w:val="single" w:sz="4" w:space="0" w:color="D7DEE8"/>
            </w:tcBorders>
            <w:tcMar>
              <w:top w:w="140" w:type="dxa"/>
              <w:start w:w="180" w:type="dxa"/>
              <w:bottom w:w="140" w:type="dxa"/>
              <w:end w:w="180" w:type="dxa"/>
            </w:tcMar>
            <w:vAlign w:val="center"/>
          </w:tcPr>
          <w:p>
            <w:pPr>
              <w:spacing w:after="60"/>
            </w:pPr>
            <w:r>
              <w:rPr>
                <w:rFonts w:ascii="Calibri" w:hAnsi="Calibri"/>
                <w:b/>
                <w:color w:val="062352"/>
                <w:sz w:val="22"/>
              </w:rPr>
              <w:t>The heart of the model</w:t>
            </w:r>
          </w:p>
          <w:p>
            <w:pPr>
              <w:spacing w:after="0" w:line="283" w:lineRule="auto"/>
            </w:pPr>
            <w:r>
              <w:rPr>
                <w:rFonts w:ascii="Calibri" w:hAnsi="Calibri"/>
                <w:sz w:val="21"/>
              </w:rPr>
              <w:t>One Accord CPM helps local churches move beyond occasional prayer activity and develop an ongoing rhythm of shared, Scripture-anchored corporate prayer.</w:t>
            </w:r>
          </w:p>
        </w:tc>
      </w:tr>
    </w:tbl>
    <w:p>
      <w:pPr>
        <w:spacing w:before="0" w:after="80" w:line="288" w:lineRule="auto"/>
      </w:pPr>
    </w:p>
    <w:p>
      <w:pPr>
        <w:spacing w:before="0" w:after="480" w:line="288" w:lineRule="auto"/>
        <w:jc w:val="center"/>
      </w:pPr>
      <w:r>
        <w:rPr>
          <w:rFonts w:ascii="Calibri" w:hAnsi="Calibri"/>
          <w:b w:val="0"/>
          <w:i w:val="0"/>
          <w:color w:val="535862"/>
          <w:sz w:val="23"/>
        </w:rPr>
        <w:t>This guide is written for pastors, ministry leaders, prayer teams, and churches asking: Why prayer? Why together? Why now? And how do we begin without overcomplicating it?</w:t>
      </w:r>
    </w:p>
    <w:p>
      <w:r>
        <w:br w:type="page"/>
      </w:r>
    </w:p>
    <w:p>
      <w:pPr>
        <w:pStyle w:val="Heading1"/>
        <w:keepNext/>
      </w:pPr>
      <w:r>
        <w:rPr>
          <w:rFonts w:ascii="Calibri" w:hAnsi="Calibri"/>
          <w:b/>
          <w:color w:val="0E4BB7"/>
          <w:sz w:val="32"/>
        </w:rPr>
        <w:t>Introduction: A Prayer Culture, Not Another Program</w:t>
      </w:r>
    </w:p>
    <w:p>
      <w:pPr>
        <w:spacing w:before="0" w:after="120" w:line="288" w:lineRule="auto"/>
      </w:pPr>
      <w:r>
        <w:rPr>
          <w:rFonts w:ascii="Calibri" w:hAnsi="Calibri"/>
          <w:b w:val="0"/>
          <w:i w:val="0"/>
          <w:sz w:val="22"/>
        </w:rPr>
        <w:t>Many churches believe in prayer but struggle to sustain a shared rhythm of prayer. Prayer may appear before sermons, during emergencies, in small groups, or at special gatherings, yet still remain disconnected from the everyday culture of the church.</w:t>
      </w:r>
    </w:p>
    <w:p>
      <w:pPr>
        <w:spacing w:before="0" w:after="120" w:line="288" w:lineRule="auto"/>
      </w:pPr>
      <w:r>
        <w:rPr>
          <w:rFonts w:ascii="Calibri" w:hAnsi="Calibri"/>
          <w:b w:val="0"/>
          <w:i w:val="0"/>
          <w:sz w:val="22"/>
        </w:rPr>
        <w:t>One Accord CPM begins with a simple conviction: a church can learn to pray together with unity, specificity, and endurance. The model does not replace organic prayer, pastoral leadership, or the work of the Holy Spirit. It simply gives the church a repeatable pathway for turning toward God together.</w:t>
      </w:r>
    </w:p>
    <w:tbl>
      <w:tblPr>
        <w:tblW w:type="auto" w:w="0"/>
        <w:jc w:val="center"/>
        <w:tblLayout w:type="fixed"/>
        <w:tblLook w:firstColumn="1" w:firstRow="1" w:lastColumn="0" w:lastRow="0" w:noHBand="0" w:noVBand="1" w:val="04A0"/>
      </w:tblPr>
      <w:tblGrid>
        <w:gridCol w:w="9072"/>
      </w:tblGrid>
      <w:tr>
        <w:tc>
          <w:tcPr>
            <w:tcW w:type="dxa" w:w="9792"/>
            <w:shd w:fill="EAF7F4"/>
            <w:tcBorders>
              <w:top w:val="single" w:sz="4" w:space="0" w:color="D7DEE8"/>
              <w:left w:val="single" w:sz="4" w:space="0" w:color="D7DEE8"/>
              <w:bottom w:val="single" w:sz="4" w:space="0" w:color="D7DEE8"/>
              <w:right w:val="single" w:sz="4" w:space="0" w:color="D7DEE8"/>
            </w:tcBorders>
            <w:tcMar>
              <w:top w:w="140" w:type="dxa"/>
              <w:start w:w="180" w:type="dxa"/>
              <w:bottom w:w="140" w:type="dxa"/>
              <w:end w:w="180" w:type="dxa"/>
            </w:tcMar>
            <w:vAlign w:val="center"/>
          </w:tcPr>
          <w:p>
            <w:pPr>
              <w:spacing w:after="60"/>
            </w:pPr>
            <w:r>
              <w:rPr>
                <w:rFonts w:ascii="Calibri" w:hAnsi="Calibri"/>
                <w:b/>
                <w:color w:val="062352"/>
                <w:sz w:val="22"/>
              </w:rPr>
              <w:t>Core promise</w:t>
            </w:r>
          </w:p>
          <w:p>
            <w:pPr>
              <w:spacing w:after="0" w:line="283" w:lineRule="auto"/>
            </w:pPr>
            <w:r>
              <w:rPr>
                <w:rFonts w:ascii="Calibri" w:hAnsi="Calibri"/>
                <w:sz w:val="21"/>
              </w:rPr>
              <w:t>Changing church culture through unified, specific, and sustained corporate prayer.</w:t>
            </w:r>
          </w:p>
        </w:tc>
      </w:tr>
    </w:tbl>
    <w:p>
      <w:pPr>
        <w:spacing w:before="0" w:after="80" w:line="288" w:lineRule="auto"/>
      </w:pPr>
    </w:p>
    <w:p>
      <w:pPr>
        <w:pStyle w:val="Heading1"/>
        <w:keepNext/>
      </w:pPr>
      <w:r>
        <w:rPr>
          <w:rFonts w:ascii="Calibri" w:hAnsi="Calibri"/>
          <w:b/>
          <w:color w:val="0E4BB7"/>
          <w:sz w:val="32"/>
        </w:rPr>
        <w:t>1. Why Corporate Prayer Matters</w:t>
      </w:r>
    </w:p>
    <w:p>
      <w:pPr>
        <w:spacing w:before="0" w:after="120" w:line="288" w:lineRule="auto"/>
      </w:pPr>
      <w:r>
        <w:rPr>
          <w:rFonts w:ascii="Calibri" w:hAnsi="Calibri"/>
          <w:b w:val="0"/>
          <w:i w:val="0"/>
          <w:sz w:val="22"/>
        </w:rPr>
        <w:t>Corporate prayer forms the church in ways private prayer alone cannot. When believers gather around Scripture, shared burdens, and local needs, prayer becomes more than an individual discipline. It becomes a communal act of dependence.</w:t>
      </w:r>
    </w:p>
    <w:p>
      <w:pPr>
        <w:pStyle w:val="ListBullet"/>
        <w:spacing w:after="80" w:line="283" w:lineRule="auto"/>
      </w:pPr>
      <w:r>
        <w:rPr>
          <w:rFonts w:ascii="Calibri" w:hAnsi="Calibri"/>
          <w:sz w:val="21"/>
        </w:rPr>
        <w:t>It unifies the church around God's presence and purposes.</w:t>
      </w:r>
    </w:p>
    <w:p>
      <w:pPr>
        <w:pStyle w:val="ListBullet"/>
        <w:spacing w:after="80" w:line="283" w:lineRule="auto"/>
      </w:pPr>
      <w:r>
        <w:rPr>
          <w:rFonts w:ascii="Calibri" w:hAnsi="Calibri"/>
          <w:sz w:val="21"/>
        </w:rPr>
        <w:t>It teaches believers to carry burdens together.</w:t>
      </w:r>
    </w:p>
    <w:p>
      <w:pPr>
        <w:pStyle w:val="ListBullet"/>
        <w:spacing w:after="80" w:line="283" w:lineRule="auto"/>
      </w:pPr>
      <w:r>
        <w:rPr>
          <w:rFonts w:ascii="Calibri" w:hAnsi="Calibri"/>
          <w:sz w:val="21"/>
        </w:rPr>
        <w:t>It gives leaders pastoral visibility without turning people into data points.</w:t>
      </w:r>
    </w:p>
    <w:p>
      <w:pPr>
        <w:pStyle w:val="ListBullet"/>
        <w:spacing w:after="80" w:line="283" w:lineRule="auto"/>
      </w:pPr>
      <w:r>
        <w:rPr>
          <w:rFonts w:ascii="Calibri" w:hAnsi="Calibri"/>
          <w:sz w:val="21"/>
        </w:rPr>
        <w:t>It creates a place for testimony and remembrance.</w:t>
      </w:r>
    </w:p>
    <w:p>
      <w:pPr>
        <w:pStyle w:val="ListBullet"/>
        <w:spacing w:after="80" w:line="283" w:lineRule="auto"/>
      </w:pPr>
      <w:r>
        <w:rPr>
          <w:rFonts w:ascii="Calibri" w:hAnsi="Calibri"/>
          <w:sz w:val="21"/>
        </w:rPr>
        <w:t>It helps prayer shape ministry before, during, and after decisions are made.</w:t>
      </w:r>
    </w:p>
    <w:p>
      <w:pPr>
        <w:pStyle w:val="Heading1"/>
        <w:keepNext/>
      </w:pPr>
      <w:r>
        <w:rPr>
          <w:rFonts w:ascii="Calibri" w:hAnsi="Calibri"/>
          <w:b/>
          <w:color w:val="0E4BB7"/>
          <w:sz w:val="32"/>
        </w:rPr>
        <w:t>2. Corporate Prayer in the Bible</w:t>
      </w:r>
    </w:p>
    <w:p>
      <w:pPr>
        <w:spacing w:before="0" w:after="120" w:line="288" w:lineRule="auto"/>
      </w:pPr>
      <w:r>
        <w:rPr>
          <w:rFonts w:ascii="Calibri" w:hAnsi="Calibri"/>
          <w:b w:val="0"/>
          <w:i w:val="0"/>
          <w:sz w:val="22"/>
        </w:rPr>
        <w:t>Scripture repeatedly shows God's people gathering to seek Him in moments of waiting, crisis, mission, repentance, and renewal.</w:t>
      </w:r>
    </w:p>
    <w:tbl>
      <w:tblPr>
        <w:tblW w:type="auto" w:w="0"/>
        <w:jc w:val="center"/>
        <w:tblLayout w:type="fixed"/>
        <w:tblLook w:firstColumn="1" w:firstRow="1" w:lastColumn="0" w:lastRow="0" w:noHBand="0" w:noVBand="1" w:val="04A0"/>
      </w:tblPr>
      <w:tblGrid>
        <w:gridCol w:w="3264"/>
        <w:gridCol w:w="3264"/>
        <w:gridCol w:w="3264"/>
      </w:tblGrid>
      <w:tr>
        <w:tc>
          <w:tcPr>
            <w:tcW w:type="dxa" w:w="223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shd w:fill="EAF7F4"/>
          </w:tcPr>
          <w:p>
            <w:pPr>
              <w:spacing w:after="0" w:line="276" w:lineRule="auto"/>
            </w:pPr>
            <w:r>
              <w:rPr>
                <w:rFonts w:ascii="Calibri" w:hAnsi="Calibri"/>
                <w:b/>
                <w:color w:val="062352"/>
                <w:sz w:val="19"/>
              </w:rPr>
              <w:t>Biblical Moment</w:t>
            </w:r>
          </w:p>
        </w:tc>
        <w:tc>
          <w:tcPr>
            <w:tcW w:type="dxa" w:w="331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shd w:fill="EAF7F4"/>
          </w:tcPr>
          <w:p>
            <w:pPr>
              <w:spacing w:after="0" w:line="276" w:lineRule="auto"/>
            </w:pPr>
            <w:r>
              <w:rPr>
                <w:rFonts w:ascii="Calibri" w:hAnsi="Calibri"/>
                <w:b/>
                <w:color w:val="062352"/>
                <w:sz w:val="19"/>
              </w:rPr>
              <w:t>What Happened</w:t>
            </w:r>
          </w:p>
        </w:tc>
        <w:tc>
          <w:tcPr>
            <w:tcW w:type="dxa" w:w="345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shd w:fill="EAF7F4"/>
          </w:tcPr>
          <w:p>
            <w:pPr>
              <w:spacing w:after="0" w:line="276" w:lineRule="auto"/>
            </w:pPr>
            <w:r>
              <w:rPr>
                <w:rFonts w:ascii="Calibri" w:hAnsi="Calibri"/>
                <w:b/>
                <w:color w:val="062352"/>
                <w:sz w:val="19"/>
              </w:rPr>
              <w:t>What It Teaches</w:t>
            </w:r>
          </w:p>
        </w:tc>
      </w:tr>
      <w:tr>
        <w:tc>
          <w:tcPr>
            <w:tcW w:type="dxa" w:w="223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2 Chronicles 20</w:t>
            </w:r>
          </w:p>
        </w:tc>
        <w:tc>
          <w:tcPr>
            <w:tcW w:type="dxa" w:w="331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Judah gathered to seek the Lord in crisis.</w:t>
            </w:r>
          </w:p>
        </w:tc>
        <w:tc>
          <w:tcPr>
            <w:tcW w:type="dxa" w:w="345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Prayer helps God's people face pressure with dependence.</w:t>
            </w:r>
          </w:p>
        </w:tc>
      </w:tr>
      <w:tr>
        <w:tc>
          <w:tcPr>
            <w:tcW w:type="dxa" w:w="223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Nehemiah 9</w:t>
            </w:r>
          </w:p>
        </w:tc>
        <w:tc>
          <w:tcPr>
            <w:tcW w:type="dxa" w:w="331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The people confessed, remembered, and renewed covenant.</w:t>
            </w:r>
          </w:p>
        </w:tc>
        <w:tc>
          <w:tcPr>
            <w:tcW w:type="dxa" w:w="345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Prayer restores spiritual memory.</w:t>
            </w:r>
          </w:p>
        </w:tc>
      </w:tr>
      <w:tr>
        <w:tc>
          <w:tcPr>
            <w:tcW w:type="dxa" w:w="223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Acts 1:14</w:t>
            </w:r>
          </w:p>
        </w:tc>
        <w:tc>
          <w:tcPr>
            <w:tcW w:type="dxa" w:w="331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The disciples continued together in prayer before Pentecost.</w:t>
            </w:r>
          </w:p>
        </w:tc>
        <w:tc>
          <w:tcPr>
            <w:tcW w:type="dxa" w:w="345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Waiting seasons should become prayer seasons.</w:t>
            </w:r>
          </w:p>
        </w:tc>
      </w:tr>
      <w:tr>
        <w:tc>
          <w:tcPr>
            <w:tcW w:type="dxa" w:w="223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Acts 2:42</w:t>
            </w:r>
          </w:p>
        </w:tc>
        <w:tc>
          <w:tcPr>
            <w:tcW w:type="dxa" w:w="331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The early church devoted itself to teaching, fellowship, breaking bread, and prayer.</w:t>
            </w:r>
          </w:p>
        </w:tc>
        <w:tc>
          <w:tcPr>
            <w:tcW w:type="dxa" w:w="345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Prayer belongs in the normal rhythm of church life.</w:t>
            </w:r>
          </w:p>
        </w:tc>
      </w:tr>
      <w:tr>
        <w:tc>
          <w:tcPr>
            <w:tcW w:type="dxa" w:w="223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Acts 4:23-31</w:t>
            </w:r>
          </w:p>
        </w:tc>
        <w:tc>
          <w:tcPr>
            <w:tcW w:type="dxa" w:w="331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The church prayed for boldness after opposition.</w:t>
            </w:r>
          </w:p>
        </w:tc>
        <w:tc>
          <w:tcPr>
            <w:tcW w:type="dxa" w:w="345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Corporate prayer renews courage.</w:t>
            </w:r>
          </w:p>
        </w:tc>
      </w:tr>
      <w:tr>
        <w:tc>
          <w:tcPr>
            <w:tcW w:type="dxa" w:w="223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Acts 12:5</w:t>
            </w:r>
          </w:p>
        </w:tc>
        <w:tc>
          <w:tcPr>
            <w:tcW w:type="dxa" w:w="331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The church prayed earnestly while Peter was imprisoned.</w:t>
            </w:r>
          </w:p>
        </w:tc>
        <w:tc>
          <w:tcPr>
            <w:tcW w:type="dxa" w:w="345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Shared prayer carries urgent burdens together.</w:t>
            </w:r>
          </w:p>
        </w:tc>
      </w:tr>
    </w:tbl>
    <w:p>
      <w:pPr>
        <w:spacing w:before="0" w:after="80" w:line="288" w:lineRule="auto"/>
      </w:pPr>
    </w:p>
    <w:p>
      <w:pPr>
        <w:pStyle w:val="Heading1"/>
        <w:keepNext/>
      </w:pPr>
      <w:r>
        <w:rPr>
          <w:rFonts w:ascii="Calibri" w:hAnsi="Calibri"/>
          <w:b/>
          <w:color w:val="0E4BB7"/>
          <w:sz w:val="32"/>
        </w:rPr>
        <w:t>3. Why Now?</w:t>
      </w:r>
    </w:p>
    <w:p>
      <w:pPr>
        <w:spacing w:before="0" w:after="120" w:line="288" w:lineRule="auto"/>
      </w:pPr>
      <w:r>
        <w:rPr>
          <w:rFonts w:ascii="Calibri" w:hAnsi="Calibri"/>
          <w:b w:val="0"/>
          <w:i w:val="0"/>
          <w:sz w:val="22"/>
        </w:rPr>
        <w:t>The need is not only spiritual but pastoral and practical. Churches are navigating digital distraction, thinner participation patterns, complex care needs, and cultural fragmentation. A simple prayer rhythm can help the church recover shared attention.</w:t>
      </w:r>
    </w:p>
    <w:p>
      <w:pPr>
        <w:pStyle w:val="ListBullet"/>
        <w:spacing w:after="80" w:line="283" w:lineRule="auto"/>
      </w:pPr>
      <w:r>
        <w:rPr>
          <w:rFonts w:ascii="Calibri" w:hAnsi="Calibri"/>
          <w:sz w:val="21"/>
        </w:rPr>
        <w:t>Pew Research Center's 2023-24 Religious Landscape Study reported that 44% of U.S. adults pray at least daily, down from 58% in 2007.</w:t>
      </w:r>
    </w:p>
    <w:p>
      <w:pPr>
        <w:pStyle w:val="ListBullet"/>
        <w:spacing w:after="80" w:line="283" w:lineRule="auto"/>
      </w:pPr>
      <w:r>
        <w:rPr>
          <w:rFonts w:ascii="Calibri" w:hAnsi="Calibri"/>
          <w:sz w:val="21"/>
        </w:rPr>
        <w:t>The same Pew report found that 13% of U.S. adults participate at least weekly in prayer groups, scripture-study groups, or religious education programs outside worship services.</w:t>
      </w:r>
    </w:p>
    <w:p>
      <w:pPr>
        <w:pStyle w:val="ListBullet"/>
        <w:spacing w:after="80" w:line="283" w:lineRule="auto"/>
      </w:pPr>
      <w:r>
        <w:rPr>
          <w:rFonts w:ascii="Calibri" w:hAnsi="Calibri"/>
          <w:sz w:val="21"/>
        </w:rPr>
        <w:t>Barna's digital prayer research suggests that many people are open to prayer supported by digital tools when the experience is clear and spiritually meaningful.</w:t>
      </w:r>
    </w:p>
    <w:p>
      <w:pPr>
        <w:pStyle w:val="ListBullet"/>
        <w:spacing w:after="80" w:line="283" w:lineRule="auto"/>
      </w:pPr>
      <w:r>
        <w:rPr>
          <w:rFonts w:ascii="Calibri" w:hAnsi="Calibri"/>
          <w:sz w:val="21"/>
        </w:rPr>
        <w:t>Pew's religion and well-being analysis found that people active in religious congregations tend to be happier and more civically engaged than inactive or unaffiliated adults.</w:t>
      </w:r>
    </w:p>
    <w:p>
      <w:pPr>
        <w:pStyle w:val="ListBullet"/>
        <w:spacing w:after="80" w:line="283" w:lineRule="auto"/>
      </w:pPr>
      <w:r>
        <w:rPr>
          <w:rFonts w:ascii="Calibri" w:hAnsi="Calibri"/>
          <w:sz w:val="21"/>
        </w:rPr>
        <w:t>Public-health research, including JAMA Internal Medicine studies, has associated regular religious-service attendance with stronger social support and positive well-being indicators. These findings should be described carefully as associations, not as guarantees.</w:t>
      </w:r>
    </w:p>
    <w:tbl>
      <w:tblPr>
        <w:tblW w:type="auto" w:w="0"/>
        <w:jc w:val="center"/>
        <w:tblLayout w:type="fixed"/>
        <w:tblLook w:firstColumn="1" w:firstRow="1" w:lastColumn="0" w:lastRow="0" w:noHBand="0" w:noVBand="1" w:val="04A0"/>
      </w:tblPr>
      <w:tblGrid>
        <w:gridCol w:w="9072"/>
      </w:tblGrid>
      <w:tr>
        <w:tc>
          <w:tcPr>
            <w:tcW w:type="dxa" w:w="9792"/>
            <w:shd w:fill="EAF2FF"/>
            <w:tcBorders>
              <w:top w:val="single" w:sz="4" w:space="0" w:color="D7DEE8"/>
              <w:left w:val="single" w:sz="4" w:space="0" w:color="D7DEE8"/>
              <w:bottom w:val="single" w:sz="4" w:space="0" w:color="D7DEE8"/>
              <w:right w:val="single" w:sz="4" w:space="0" w:color="D7DEE8"/>
            </w:tcBorders>
            <w:tcMar>
              <w:top w:w="140" w:type="dxa"/>
              <w:start w:w="180" w:type="dxa"/>
              <w:bottom w:w="140" w:type="dxa"/>
              <w:end w:w="180" w:type="dxa"/>
            </w:tcMar>
            <w:vAlign w:val="center"/>
          </w:tcPr>
          <w:p>
            <w:pPr>
              <w:spacing w:after="60"/>
            </w:pPr>
            <w:r>
              <w:rPr>
                <w:rFonts w:ascii="Calibri" w:hAnsi="Calibri"/>
                <w:b/>
                <w:color w:val="062352"/>
                <w:sz w:val="22"/>
              </w:rPr>
              <w:t>The opportunity</w:t>
            </w:r>
          </w:p>
          <w:p>
            <w:pPr>
              <w:spacing w:after="0" w:line="283" w:lineRule="auto"/>
            </w:pPr>
            <w:r>
              <w:rPr>
                <w:rFonts w:ascii="Calibri" w:hAnsi="Calibri"/>
                <w:sz w:val="21"/>
              </w:rPr>
              <w:t>A church does not need a complicated platform to begin. It needs a clear invitation, a shared rhythm, trustworthy leadership, and a way to remember what God is doing.</w:t>
            </w:r>
          </w:p>
        </w:tc>
      </w:tr>
    </w:tbl>
    <w:p>
      <w:pPr>
        <w:spacing w:before="0" w:after="80" w:line="288" w:lineRule="auto"/>
      </w:pPr>
    </w:p>
    <w:p>
      <w:pPr>
        <w:pStyle w:val="Heading1"/>
        <w:keepNext/>
      </w:pPr>
      <w:r>
        <w:rPr>
          <w:rFonts w:ascii="Calibri" w:hAnsi="Calibri"/>
          <w:b/>
          <w:color w:val="0E4BB7"/>
          <w:sz w:val="32"/>
        </w:rPr>
        <w:t>4. The One Accord CPM Model</w:t>
      </w:r>
    </w:p>
    <w:p>
      <w:pPr>
        <w:spacing w:before="0" w:after="120" w:line="288" w:lineRule="auto"/>
      </w:pPr>
      <w:r>
        <w:rPr>
          <w:rFonts w:ascii="Calibri" w:hAnsi="Calibri"/>
          <w:b w:val="0"/>
          <w:i w:val="0"/>
          <w:sz w:val="22"/>
        </w:rPr>
        <w:t>One Accord CPM combines a simple digital hub with a ministry model that leaders can adapt locally. The hub is not the center; prayer is the center. The hub helps people participate with less confusion.</w:t>
      </w:r>
    </w:p>
    <w:tbl>
      <w:tblPr>
        <w:tblW w:type="auto" w:w="0"/>
        <w:jc w:val="center"/>
        <w:tblLayout w:type="fixed"/>
        <w:tblLook w:firstColumn="1" w:firstRow="1" w:lastColumn="0" w:lastRow="0" w:noHBand="0" w:noVBand="1" w:val="04A0"/>
      </w:tblPr>
      <w:tblGrid>
        <w:gridCol w:w="4896"/>
        <w:gridCol w:w="4896"/>
      </w:tblGrid>
      <w:tr>
        <w:tc>
          <w:tcPr>
            <w:tcW w:type="dxa" w:w="259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shd w:fill="EAF7F4"/>
          </w:tcPr>
          <w:p>
            <w:pPr>
              <w:spacing w:after="0" w:line="276" w:lineRule="auto"/>
            </w:pPr>
            <w:r>
              <w:rPr>
                <w:rFonts w:ascii="Calibri" w:hAnsi="Calibri"/>
                <w:b/>
                <w:color w:val="062352"/>
                <w:sz w:val="19"/>
              </w:rPr>
              <w:t>Model Element</w:t>
            </w:r>
          </w:p>
        </w:tc>
        <w:tc>
          <w:tcPr>
            <w:tcW w:type="dxa" w:w="640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shd w:fill="EAF7F4"/>
          </w:tcPr>
          <w:p>
            <w:pPr>
              <w:spacing w:after="0" w:line="276" w:lineRule="auto"/>
            </w:pPr>
            <w:r>
              <w:rPr>
                <w:rFonts w:ascii="Calibri" w:hAnsi="Calibri"/>
                <w:b/>
                <w:color w:val="062352"/>
                <w:sz w:val="19"/>
              </w:rPr>
              <w:t>Purpose</w:t>
            </w:r>
          </w:p>
        </w:tc>
      </w:tr>
      <w:tr>
        <w:tc>
          <w:tcPr>
            <w:tcW w:type="dxa" w:w="259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Anchor Packet</w:t>
            </w:r>
          </w:p>
        </w:tc>
        <w:tc>
          <w:tcPr>
            <w:tcW w:type="dxa" w:w="640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 weekly Scripture-centered prayer guide with focus, devotional reflection, prayer targets, and reflection prompts.</w:t>
            </w:r>
          </w:p>
        </w:tc>
      </w:tr>
      <w:tr>
        <w:tc>
          <w:tcPr>
            <w:tcW w:type="dxa" w:w="259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Corporate Prayer Gathering</w:t>
            </w:r>
          </w:p>
        </w:tc>
        <w:tc>
          <w:tcPr>
            <w:tcW w:type="dxa" w:w="640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 designated weekly gathering where the church prays together around the packet and local targets.</w:t>
            </w:r>
          </w:p>
        </w:tc>
      </w:tr>
      <w:tr>
        <w:tc>
          <w:tcPr>
            <w:tcW w:type="dxa" w:w="259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Local Prayer Targets</w:t>
            </w:r>
          </w:p>
        </w:tc>
        <w:tc>
          <w:tcPr>
            <w:tcW w:type="dxa" w:w="640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Church-specific needs added by leaders so the model remains rooted in actual community life.</w:t>
            </w:r>
          </w:p>
        </w:tc>
      </w:tr>
      <w:tr>
        <w:tc>
          <w:tcPr>
            <w:tcW w:type="dxa" w:w="259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Prayer Request Care</w:t>
            </w:r>
          </w:p>
        </w:tc>
        <w:tc>
          <w:tcPr>
            <w:tcW w:type="dxa" w:w="640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 safe pathway for requests, including pastoral routing for sensitive or urgent needs.</w:t>
            </w:r>
          </w:p>
        </w:tc>
      </w:tr>
      <w:tr>
        <w:tc>
          <w:tcPr>
            <w:tcW w:type="dxa" w:w="259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Book of Remembrance</w:t>
            </w:r>
          </w:p>
        </w:tc>
        <w:tc>
          <w:tcPr>
            <w:tcW w:type="dxa" w:w="640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 testimony rhythm that helps the church record and celebrate answered prayer with care.</w:t>
            </w:r>
          </w:p>
        </w:tc>
      </w:tr>
      <w:tr>
        <w:tc>
          <w:tcPr>
            <w:tcW w:type="dxa" w:w="259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Leader Rhythm</w:t>
            </w:r>
          </w:p>
        </w:tc>
        <w:tc>
          <w:tcPr>
            <w:tcW w:type="dxa" w:w="640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 weekly checklist for preparation, facilitation, review, and follow-up.</w:t>
            </w:r>
          </w:p>
        </w:tc>
      </w:tr>
    </w:tbl>
    <w:p>
      <w:pPr>
        <w:spacing w:before="0" w:after="80" w:line="288" w:lineRule="auto"/>
      </w:pPr>
    </w:p>
    <w:p>
      <w:pPr>
        <w:pStyle w:val="Heading1"/>
        <w:keepNext/>
      </w:pPr>
      <w:r>
        <w:rPr>
          <w:rFonts w:ascii="Calibri" w:hAnsi="Calibri"/>
          <w:b/>
          <w:color w:val="0E4BB7"/>
          <w:sz w:val="32"/>
        </w:rPr>
        <w:t>5. How a Church Begins</w:t>
      </w:r>
    </w:p>
    <w:p>
      <w:pPr>
        <w:pStyle w:val="ListNumber"/>
        <w:spacing w:after="80" w:line="283" w:lineRule="auto"/>
      </w:pPr>
      <w:r>
        <w:rPr>
          <w:rFonts w:ascii="Calibri" w:hAnsi="Calibri"/>
          <w:sz w:val="21"/>
        </w:rPr>
        <w:t>Start with pastoral conviction, not technology. Clarify why the church is entering a prayer rhythm.</w:t>
      </w:r>
    </w:p>
    <w:p>
      <w:pPr>
        <w:pStyle w:val="ListNumber"/>
        <w:spacing w:after="80" w:line="283" w:lineRule="auto"/>
      </w:pPr>
      <w:r>
        <w:rPr>
          <w:rFonts w:ascii="Calibri" w:hAnsi="Calibri"/>
          <w:sz w:val="21"/>
        </w:rPr>
        <w:t>Choose a designated prayer day and corporate gathering time.</w:t>
      </w:r>
    </w:p>
    <w:p>
      <w:pPr>
        <w:pStyle w:val="ListNumber"/>
        <w:spacing w:after="80" w:line="283" w:lineRule="auto"/>
      </w:pPr>
      <w:r>
        <w:rPr>
          <w:rFonts w:ascii="Calibri" w:hAnsi="Calibri"/>
          <w:sz w:val="21"/>
        </w:rPr>
        <w:t>Prepare the first Anchor Packet and add local prayer targets.</w:t>
      </w:r>
    </w:p>
    <w:p>
      <w:pPr>
        <w:pStyle w:val="ListNumber"/>
        <w:spacing w:after="80" w:line="283" w:lineRule="auto"/>
      </w:pPr>
      <w:r>
        <w:rPr>
          <w:rFonts w:ascii="Calibri" w:hAnsi="Calibri"/>
          <w:sz w:val="21"/>
        </w:rPr>
        <w:t>Introduce the rhythm from the pulpit with invitation, not pressure.</w:t>
      </w:r>
    </w:p>
    <w:p>
      <w:pPr>
        <w:pStyle w:val="ListNumber"/>
        <w:spacing w:after="80" w:line="283" w:lineRule="auto"/>
      </w:pPr>
      <w:r>
        <w:rPr>
          <w:rFonts w:ascii="Calibri" w:hAnsi="Calibri"/>
          <w:sz w:val="21"/>
        </w:rPr>
        <w:t>Make access simple with one shared link or code.</w:t>
      </w:r>
    </w:p>
    <w:p>
      <w:pPr>
        <w:pStyle w:val="ListNumber"/>
        <w:spacing w:after="80" w:line="283" w:lineRule="auto"/>
      </w:pPr>
      <w:r>
        <w:rPr>
          <w:rFonts w:ascii="Calibri" w:hAnsi="Calibri"/>
          <w:sz w:val="21"/>
        </w:rPr>
        <w:t>Protect prayer requests with clear privacy and pastoral-care practices.</w:t>
      </w:r>
    </w:p>
    <w:p>
      <w:pPr>
        <w:pStyle w:val="ListNumber"/>
        <w:spacing w:after="80" w:line="283" w:lineRule="auto"/>
      </w:pPr>
      <w:r>
        <w:rPr>
          <w:rFonts w:ascii="Calibri" w:hAnsi="Calibri"/>
          <w:sz w:val="21"/>
        </w:rPr>
        <w:t>Review monthly what is bearing fruit, what is confusing, and what needs to be simplified.</w:t>
      </w:r>
    </w:p>
    <w:p>
      <w:pPr>
        <w:pStyle w:val="Heading1"/>
        <w:keepNext/>
      </w:pPr>
      <w:r>
        <w:rPr>
          <w:rFonts w:ascii="Calibri" w:hAnsi="Calibri"/>
          <w:b/>
          <w:color w:val="0E4BB7"/>
          <w:sz w:val="32"/>
        </w:rPr>
        <w:t>6. What Leaders Should Avoid</w:t>
      </w:r>
    </w:p>
    <w:p>
      <w:pPr>
        <w:pStyle w:val="ListBullet"/>
        <w:spacing w:after="80" w:line="283" w:lineRule="auto"/>
      </w:pPr>
      <w:r>
        <w:rPr>
          <w:rFonts w:ascii="Calibri" w:hAnsi="Calibri"/>
          <w:sz w:val="21"/>
        </w:rPr>
        <w:t>Do not turn prayer into attendance competition.</w:t>
      </w:r>
    </w:p>
    <w:p>
      <w:pPr>
        <w:pStyle w:val="ListBullet"/>
        <w:spacing w:after="80" w:line="283" w:lineRule="auto"/>
      </w:pPr>
      <w:r>
        <w:rPr>
          <w:rFonts w:ascii="Calibri" w:hAnsi="Calibri"/>
          <w:sz w:val="21"/>
        </w:rPr>
        <w:t>Do not add prayer streaks, rankings, or spiritual maturity scoring.</w:t>
      </w:r>
    </w:p>
    <w:p>
      <w:pPr>
        <w:pStyle w:val="ListBullet"/>
        <w:spacing w:after="80" w:line="283" w:lineRule="auto"/>
      </w:pPr>
      <w:r>
        <w:rPr>
          <w:rFonts w:ascii="Calibri" w:hAnsi="Calibri"/>
          <w:sz w:val="21"/>
        </w:rPr>
        <w:t>Do not share sensitive requests broadly without permission and pastoral wisdom.</w:t>
      </w:r>
    </w:p>
    <w:p>
      <w:pPr>
        <w:pStyle w:val="ListBullet"/>
        <w:spacing w:after="80" w:line="283" w:lineRule="auto"/>
      </w:pPr>
      <w:r>
        <w:rPr>
          <w:rFonts w:ascii="Calibri" w:hAnsi="Calibri"/>
          <w:sz w:val="21"/>
        </w:rPr>
        <w:t>Do not allow the hub to become a substitute for real shepherding.</w:t>
      </w:r>
    </w:p>
    <w:p>
      <w:pPr>
        <w:pStyle w:val="ListBullet"/>
        <w:spacing w:after="80" w:line="283" w:lineRule="auto"/>
      </w:pPr>
      <w:r>
        <w:rPr>
          <w:rFonts w:ascii="Calibri" w:hAnsi="Calibri"/>
          <w:sz w:val="21"/>
        </w:rPr>
        <w:t>Do not overbuild the system before the prayer culture has taken root.</w:t>
      </w:r>
    </w:p>
    <w:p>
      <w:pPr>
        <w:pStyle w:val="Heading1"/>
        <w:keepNext/>
      </w:pPr>
      <w:r>
        <w:rPr>
          <w:rFonts w:ascii="Calibri" w:hAnsi="Calibri"/>
          <w:b/>
          <w:color w:val="0E4BB7"/>
          <w:sz w:val="32"/>
        </w:rPr>
        <w:t>7. What Churches Can Expect</w:t>
      </w:r>
    </w:p>
    <w:p>
      <w:pPr>
        <w:spacing w:before="0" w:after="120" w:line="288" w:lineRule="auto"/>
      </w:pPr>
      <w:r>
        <w:rPr>
          <w:rFonts w:ascii="Calibri" w:hAnsi="Calibri"/>
          <w:b w:val="0"/>
          <w:i w:val="0"/>
          <w:sz w:val="22"/>
        </w:rPr>
        <w:t>Sustained corporate prayer does not allow a church to control outcomes. It does, however, create conditions for spiritual formation, deeper pastoral awareness, and shared dependence on God.</w:t>
      </w:r>
    </w:p>
    <w:p>
      <w:pPr>
        <w:pStyle w:val="ListBullet"/>
        <w:spacing w:after="80" w:line="283" w:lineRule="auto"/>
      </w:pPr>
      <w:r>
        <w:rPr>
          <w:rFonts w:ascii="Calibri" w:hAnsi="Calibri"/>
          <w:sz w:val="21"/>
        </w:rPr>
        <w:t>More specific prayer language across the church.</w:t>
      </w:r>
    </w:p>
    <w:p>
      <w:pPr>
        <w:pStyle w:val="ListBullet"/>
        <w:spacing w:after="80" w:line="283" w:lineRule="auto"/>
      </w:pPr>
      <w:r>
        <w:rPr>
          <w:rFonts w:ascii="Calibri" w:hAnsi="Calibri"/>
          <w:sz w:val="21"/>
        </w:rPr>
        <w:t>Greater unity around shared burdens and ministry priorities.</w:t>
      </w:r>
    </w:p>
    <w:p>
      <w:pPr>
        <w:pStyle w:val="ListBullet"/>
        <w:spacing w:after="80" w:line="283" w:lineRule="auto"/>
      </w:pPr>
      <w:r>
        <w:rPr>
          <w:rFonts w:ascii="Calibri" w:hAnsi="Calibri"/>
          <w:sz w:val="21"/>
        </w:rPr>
        <w:t>Earlier awareness of pastoral-care needs.</w:t>
      </w:r>
    </w:p>
    <w:p>
      <w:pPr>
        <w:pStyle w:val="ListBullet"/>
        <w:spacing w:after="80" w:line="283" w:lineRule="auto"/>
      </w:pPr>
      <w:r>
        <w:rPr>
          <w:rFonts w:ascii="Calibri" w:hAnsi="Calibri"/>
          <w:sz w:val="21"/>
        </w:rPr>
        <w:t>More intentional testimony and remembrance.</w:t>
      </w:r>
    </w:p>
    <w:p>
      <w:pPr>
        <w:pStyle w:val="ListBullet"/>
        <w:spacing w:after="80" w:line="283" w:lineRule="auto"/>
      </w:pPr>
      <w:r>
        <w:rPr>
          <w:rFonts w:ascii="Calibri" w:hAnsi="Calibri"/>
          <w:sz w:val="21"/>
        </w:rPr>
        <w:t>A healthier connection between worship, mission, leadership, and prayer.</w:t>
      </w:r>
    </w:p>
    <w:p>
      <w:pPr>
        <w:pStyle w:val="Heading1"/>
        <w:keepNext/>
      </w:pPr>
      <w:r>
        <w:rPr>
          <w:rFonts w:ascii="Calibri" w:hAnsi="Calibri"/>
          <w:b/>
          <w:color w:val="0E4BB7"/>
          <w:sz w:val="32"/>
        </w:rPr>
        <w:t>8. Measuring Health without Measuring People</w:t>
      </w:r>
    </w:p>
    <w:p>
      <w:pPr>
        <w:spacing w:before="0" w:after="120" w:line="288" w:lineRule="auto"/>
      </w:pPr>
      <w:r>
        <w:rPr>
          <w:rFonts w:ascii="Calibri" w:hAnsi="Calibri"/>
          <w:b w:val="0"/>
          <w:i w:val="0"/>
          <w:sz w:val="22"/>
        </w:rPr>
        <w:t>The healthiest measures are questions leaders ask together, not scores assigned to participants. The goal is discernment and care.</w:t>
      </w:r>
    </w:p>
    <w:tbl>
      <w:tblPr>
        <w:tblW w:type="auto" w:w="0"/>
        <w:jc w:val="center"/>
        <w:tblLayout w:type="fixed"/>
        <w:tblLook w:firstColumn="1" w:firstRow="1" w:lastColumn="0" w:lastRow="0" w:noHBand="0" w:noVBand="1" w:val="04A0"/>
      </w:tblPr>
      <w:tblGrid>
        <w:gridCol w:w="4896"/>
        <w:gridCol w:w="4896"/>
      </w:tblGrid>
      <w:tr>
        <w:tc>
          <w:tcPr>
            <w:tcW w:type="dxa" w:w="338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shd w:fill="EAF7F4"/>
          </w:tcPr>
          <w:p>
            <w:pPr>
              <w:spacing w:after="0" w:line="276" w:lineRule="auto"/>
            </w:pPr>
            <w:r>
              <w:rPr>
                <w:rFonts w:ascii="Calibri" w:hAnsi="Calibri"/>
                <w:b/>
                <w:color w:val="062352"/>
                <w:sz w:val="19"/>
              </w:rPr>
              <w:t>Health Question</w:t>
            </w:r>
          </w:p>
        </w:tc>
        <w:tc>
          <w:tcPr>
            <w:tcW w:type="dxa" w:w="561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shd w:fill="EAF7F4"/>
          </w:tcPr>
          <w:p>
            <w:pPr>
              <w:spacing w:after="0" w:line="276" w:lineRule="auto"/>
            </w:pPr>
            <w:r>
              <w:rPr>
                <w:rFonts w:ascii="Calibri" w:hAnsi="Calibri"/>
                <w:b/>
                <w:color w:val="062352"/>
                <w:sz w:val="19"/>
              </w:rPr>
              <w:t>What to Look For</w:t>
            </w:r>
          </w:p>
        </w:tc>
      </w:tr>
      <w:tr>
        <w:tc>
          <w:tcPr>
            <w:tcW w:type="dxa" w:w="338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Can people access the packet easily?</w:t>
            </w:r>
          </w:p>
        </w:tc>
        <w:tc>
          <w:tcPr>
            <w:tcW w:type="dxa" w:w="561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Simple link use, low confusion, mobile readability.</w:t>
            </w:r>
          </w:p>
        </w:tc>
      </w:tr>
      <w:tr>
        <w:tc>
          <w:tcPr>
            <w:tcW w:type="dxa" w:w="338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Are prayer requests handled wisely?</w:t>
            </w:r>
          </w:p>
        </w:tc>
        <w:tc>
          <w:tcPr>
            <w:tcW w:type="dxa" w:w="561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Sensitive requests routed carefully and reviewed by approved leaders.</w:t>
            </w:r>
          </w:p>
        </w:tc>
      </w:tr>
      <w:tr>
        <w:tc>
          <w:tcPr>
            <w:tcW w:type="dxa" w:w="338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Is corporate prayer becoming more specific?</w:t>
            </w:r>
          </w:p>
        </w:tc>
        <w:tc>
          <w:tcPr>
            <w:tcW w:type="dxa" w:w="561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Prayer targets are scriptural, local, and focused.</w:t>
            </w:r>
          </w:p>
        </w:tc>
      </w:tr>
      <w:tr>
        <w:tc>
          <w:tcPr>
            <w:tcW w:type="dxa" w:w="338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Are testimonies remembered?</w:t>
            </w:r>
          </w:p>
        </w:tc>
        <w:tc>
          <w:tcPr>
            <w:tcW w:type="dxa" w:w="561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Answered prayers are recorded and shared appropriately.</w:t>
            </w:r>
          </w:p>
        </w:tc>
      </w:tr>
      <w:tr>
        <w:tc>
          <w:tcPr>
            <w:tcW w:type="dxa" w:w="338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Is the rhythm sustainable?</w:t>
            </w:r>
          </w:p>
        </w:tc>
        <w:tc>
          <w:tcPr>
            <w:tcW w:type="dxa" w:w="561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Leaders can maintain it without burnout or technical overload.</w:t>
            </w:r>
          </w:p>
        </w:tc>
      </w:tr>
    </w:tbl>
    <w:p>
      <w:pPr>
        <w:spacing w:before="0" w:after="80" w:line="288" w:lineRule="auto"/>
      </w:pPr>
    </w:p>
    <w:p>
      <w:pPr>
        <w:pStyle w:val="Heading1"/>
        <w:keepNext/>
      </w:pPr>
      <w:r>
        <w:rPr>
          <w:rFonts w:ascii="Calibri" w:hAnsi="Calibri"/>
          <w:b/>
          <w:color w:val="0E4BB7"/>
          <w:sz w:val="32"/>
        </w:rPr>
        <w:t>9. A Simple Invitation</w:t>
      </w:r>
    </w:p>
    <w:p>
      <w:pPr>
        <w:spacing w:before="0" w:after="120" w:line="288" w:lineRule="auto"/>
      </w:pPr>
      <w:r>
        <w:rPr>
          <w:rFonts w:ascii="Calibri" w:hAnsi="Calibri"/>
          <w:b w:val="0"/>
          <w:i w:val="0"/>
          <w:sz w:val="22"/>
        </w:rPr>
        <w:t>A church can begin with one prayer day, one Anchor Packet, one shared gathering, and one commitment: seek God together with unity, specificity, and endurance.</w:t>
      </w:r>
    </w:p>
    <w:tbl>
      <w:tblPr>
        <w:tblW w:type="auto" w:w="0"/>
        <w:jc w:val="center"/>
        <w:tblLayout w:type="fixed"/>
        <w:tblLook w:firstColumn="1" w:firstRow="1" w:lastColumn="0" w:lastRow="0" w:noHBand="0" w:noVBand="1" w:val="04A0"/>
      </w:tblPr>
      <w:tblGrid>
        <w:gridCol w:w="9072"/>
      </w:tblGrid>
      <w:tr>
        <w:tc>
          <w:tcPr>
            <w:tcW w:type="dxa" w:w="9792"/>
            <w:shd w:fill="FFF7E6"/>
            <w:tcBorders>
              <w:top w:val="single" w:sz="4" w:space="0" w:color="D7DEE8"/>
              <w:left w:val="single" w:sz="4" w:space="0" w:color="D7DEE8"/>
              <w:bottom w:val="single" w:sz="4" w:space="0" w:color="D7DEE8"/>
              <w:right w:val="single" w:sz="4" w:space="0" w:color="D7DEE8"/>
            </w:tcBorders>
            <w:tcMar>
              <w:top w:w="140" w:type="dxa"/>
              <w:start w:w="180" w:type="dxa"/>
              <w:bottom w:w="140" w:type="dxa"/>
              <w:end w:w="180" w:type="dxa"/>
            </w:tcMar>
            <w:vAlign w:val="center"/>
          </w:tcPr>
          <w:p>
            <w:pPr>
              <w:spacing w:after="60"/>
            </w:pPr>
            <w:r>
              <w:rPr>
                <w:rFonts w:ascii="Calibri" w:hAnsi="Calibri"/>
                <w:b/>
                <w:color w:val="062352"/>
                <w:sz w:val="22"/>
              </w:rPr>
              <w:t>Prayer for the journey</w:t>
            </w:r>
          </w:p>
          <w:p>
            <w:pPr>
              <w:spacing w:after="0" w:line="283" w:lineRule="auto"/>
            </w:pPr>
            <w:r>
              <w:rPr>
                <w:rFonts w:ascii="Calibri" w:hAnsi="Calibri"/>
                <w:sz w:val="21"/>
              </w:rPr>
              <w:t>Lord, make us a people of prayer. Teach us to seek You together, carry one another's burdens, remember Your faithfulness, and follow Your direction with humility and courage. In Jesus' name, amen.</w:t>
            </w:r>
          </w:p>
        </w:tc>
      </w:tr>
    </w:tbl>
    <w:p>
      <w:pPr>
        <w:spacing w:before="0" w:after="80" w:line="288" w:lineRule="auto"/>
      </w:pPr>
    </w:p>
    <w:p>
      <w:pPr>
        <w:pStyle w:val="Heading1"/>
        <w:keepNext/>
      </w:pPr>
      <w:r>
        <w:rPr>
          <w:rFonts w:ascii="Calibri" w:hAnsi="Calibri"/>
          <w:b/>
          <w:color w:val="0E4BB7"/>
          <w:sz w:val="32"/>
        </w:rPr>
        <w:t>Sources</w:t>
      </w:r>
    </w:p>
    <w:p>
      <w:pPr>
        <w:pStyle w:val="ListBullet"/>
        <w:spacing w:after="80" w:line="283" w:lineRule="auto"/>
      </w:pPr>
      <w:r>
        <w:rPr>
          <w:rFonts w:ascii="Calibri" w:hAnsi="Calibri"/>
          <w:sz w:val="21"/>
        </w:rPr>
        <w:t>Pew Research Center, Prayer and other religious practices among Americans, 2025.</w:t>
      </w:r>
    </w:p>
    <w:p>
      <w:pPr>
        <w:pStyle w:val="ListBullet"/>
        <w:spacing w:after="80" w:line="283" w:lineRule="auto"/>
      </w:pPr>
      <w:r>
        <w:rPr>
          <w:rFonts w:ascii="Calibri" w:hAnsi="Calibri"/>
          <w:sz w:val="21"/>
        </w:rPr>
        <w:t>Pew Research Center, Religion's Relationship to Happiness, Civic Engagement and Health Around the World, 2019.</w:t>
      </w:r>
    </w:p>
    <w:p>
      <w:pPr>
        <w:pStyle w:val="ListBullet"/>
        <w:spacing w:after="80" w:line="283" w:lineRule="auto"/>
      </w:pPr>
      <w:r>
        <w:rPr>
          <w:rFonts w:ascii="Calibri" w:hAnsi="Calibri"/>
          <w:sz w:val="21"/>
        </w:rPr>
        <w:t>Barna Group, Is Openness to Prayer a Door to Digital Church Engagement?, 2021.</w:t>
      </w:r>
    </w:p>
    <w:p>
      <w:pPr>
        <w:pStyle w:val="ListBullet"/>
        <w:spacing w:after="80" w:line="283" w:lineRule="auto"/>
      </w:pPr>
      <w:r>
        <w:rPr>
          <w:rFonts w:ascii="Calibri" w:hAnsi="Calibri"/>
          <w:sz w:val="21"/>
        </w:rPr>
        <w:t>GotQuestions.org, Is corporate prayer important?</w:t>
      </w:r>
    </w:p>
    <w:p>
      <w:pPr>
        <w:pStyle w:val="ListBullet"/>
        <w:spacing w:after="80" w:line="283" w:lineRule="auto"/>
      </w:pPr>
      <w:r>
        <w:rPr>
          <w:rFonts w:ascii="Calibri" w:hAnsi="Calibri"/>
          <w:sz w:val="21"/>
        </w:rPr>
        <w:t>JAMA Internal Medicine, Association of Religious Service Attendance With Mortality Among Women, 2016.</w:t>
      </w:r>
    </w:p>
    <w:p>
      <w:pPr>
        <w:pStyle w:val="ListBullet"/>
        <w:spacing w:after="80" w:line="283" w:lineRule="auto"/>
      </w:pPr>
      <w:r>
        <w:rPr>
          <w:rFonts w:ascii="Calibri" w:hAnsi="Calibri"/>
          <w:sz w:val="21"/>
        </w:rPr>
        <w:t>Scripture references include 2 Chronicles 20; Nehemiah 9; Acts 1:14; Acts 2:42; Acts 4:23-31; Acts 12:5.</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35862"/>
        <w:sz w:val="17"/>
      </w:rPr>
      <w:t>Changing church culture through unified, specific, and sustained corporate prayer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35862"/>
        <w:sz w:val="17"/>
      </w:rPr>
      <w:t>One Accord CPM Launch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3" w:lineRule="auto"/>
      <w:outlineLvl w:val="0"/>
    </w:pPr>
    <w:rPr>
      <w:rFonts w:asciiTheme="majorHAnsi" w:eastAsiaTheme="majorEastAsia" w:hAnsiTheme="majorHAnsi" w:cstheme="majorBidi" w:ascii="Calibri" w:hAnsi="Calibri"/>
      <w:b/>
      <w:bCs/>
      <w:color w:val="0E4BB7"/>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83" w:lineRule="auto"/>
      <w:outlineLvl w:val="1"/>
    </w:pPr>
    <w:rPr>
      <w:rFonts w:asciiTheme="majorHAnsi" w:eastAsiaTheme="majorEastAsia" w:hAnsiTheme="majorHAnsi" w:cstheme="majorBidi" w:ascii="Calibri" w:hAnsi="Calibri"/>
      <w:b/>
      <w:bCs/>
      <w:color w:val="0E4BB7"/>
      <w:sz w:val="26"/>
      <w:szCs w:val="26"/>
    </w:rPr>
  </w:style>
  <w:style w:type="paragraph" w:styleId="Heading3">
    <w:name w:val="heading 3"/>
    <w:basedOn w:val="Normal"/>
    <w:next w:val="Normal"/>
    <w:link w:val="Heading3Char"/>
    <w:uiPriority w:val="9"/>
    <w:unhideWhenUsed/>
    <w:qFormat/>
    <w:rsid w:val="00FC693F"/>
    <w:pPr>
      <w:keepNext/>
      <w:keepLines/>
      <w:spacing w:before="160" w:after="80" w:line="283" w:lineRule="auto"/>
      <w:outlineLvl w:val="2"/>
    </w:pPr>
    <w:rPr>
      <w:rFonts w:asciiTheme="majorHAnsi" w:eastAsiaTheme="majorEastAsia" w:hAnsiTheme="majorHAnsi" w:cstheme="majorBidi" w:ascii="Calibri" w:hAnsi="Calibri"/>
      <w:b/>
      <w:bCs/>
      <w:color w:val="0623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