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ПЕРЕЧЕНЬ ВОПРОСОВ, ПОДЛЕЖАЩИХ РАЗРАБОТКЕ</w:t>
      </w:r>
    </w:p>
    <w:tbl>
      <w:tblPr>
        <w:tblStyle w:val="Table1"/>
        <w:tblW w:w="9554.0" w:type="dxa"/>
        <w:jc w:val="center"/>
        <w:tblLayout w:type="fixed"/>
        <w:tblLook w:val="0000"/>
      </w:tblPr>
      <w:tblGrid>
        <w:gridCol w:w="6254"/>
        <w:gridCol w:w="847"/>
        <w:gridCol w:w="902"/>
        <w:gridCol w:w="842"/>
        <w:gridCol w:w="709"/>
        <w:tblGridChange w:id="0">
          <w:tblGrid>
            <w:gridCol w:w="6254"/>
            <w:gridCol w:w="847"/>
            <w:gridCol w:w="902"/>
            <w:gridCol w:w="842"/>
            <w:gridCol w:w="709"/>
          </w:tblGrid>
        </w:tblGridChange>
      </w:tblGrid>
      <w:tr>
        <w:trPr>
          <w:cantSplit w:val="0"/>
          <w:trHeight w:val="263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Содержание задания по профилирующим разделам курсового проекта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ПМ*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МДК*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ПК*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ОК*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ПМ 02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МДК 02.01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2.1, 2.2,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2.3, 2.4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1-11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Основания для разработки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ind w:left="720" w:right="19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2.2. Назначение разработки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1"/>
              <w:ind w:left="720" w:right="19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2.3.Требования к проекту:</w:t>
            </w:r>
          </w:p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8" w:right="170" w:hanging="3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8" w:right="170" w:hanging="3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Задачи</w:t>
            </w:r>
          </w:p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8" w:right="170" w:hanging="3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Ожидаемые результаты.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spacing w:line="360" w:lineRule="auto"/>
              <w:ind w:left="720" w:right="195" w:firstLine="0"/>
              <w:rPr>
                <w:rFonts w:ascii="Cambria" w:cs="Cambria" w:eastAsia="Cambria" w:hAnsi="Cambria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2.4.Требования к программной документации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2.5. Стадии и этапы разработки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Пояснительная записка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17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17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76" w:lineRule="auto"/>
              <w:ind w:left="360" w:right="1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 Назначение и область применения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76" w:lineRule="auto"/>
              <w:ind w:right="1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2.2 Технические характеристики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11" w:right="17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задачи на разработку проекта сети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11" w:right="17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алгоритма и (или) функционирования физической и логической инфраструктуры сети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11" w:right="17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и обоснование выбора метода организации клиент-серверной структуры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11" w:right="17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и обоснование выбора состава технических и программных средств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ind w:left="360" w:right="1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Заключение</w:t>
            </w:r>
          </w:p>
          <w:p w:rsidR="00000000" w:rsidDel="00000000" w:rsidP="00000000" w:rsidRDefault="00000000" w:rsidRPr="00000000" w14:paraId="0000004F">
            <w:pPr>
              <w:ind w:left="360" w:right="1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Источники, используемые при разработке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Программа и методика испытаний</w:t>
            </w:r>
          </w:p>
          <w:p w:rsidR="00000000" w:rsidDel="00000000" w:rsidP="00000000" w:rsidRDefault="00000000" w:rsidRPr="00000000" w14:paraId="00000055">
            <w:pPr>
              <w:ind w:left="360" w:right="1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Содержание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ПМ 02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МДК 02.01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2.1, 2.2,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2.3, 2.4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ind w:left="720" w:right="1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3.1. Объект испытаний</w:t>
              <w:tab/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ind w:left="720" w:right="1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3.2. Цель испытаний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ind w:left="720" w:right="1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3.3. Требования к сети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ind w:left="720" w:right="1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3.4. Требования к документации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ind w:left="720" w:right="1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3.5. Средства и порядок контроля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ind w:left="720" w:right="17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3.6. Тестовый пример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ind w:left="360" w:right="1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Приложения: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17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Скринщоты настроек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17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Листинг сценариев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ПМ 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МДК 02.01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2.1, 2.2,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2.3, 2.4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Графическая часть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line="276" w:lineRule="auto"/>
        <w:ind w:left="42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Оформить все рисунки и таблицы в соответствии с ГОСТами;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line="276" w:lineRule="auto"/>
        <w:ind w:left="42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руководстве оператора все действия продублировать иллюстрациями.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line="276" w:lineRule="auto"/>
        <w:ind w:left="42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Прописать выводы и предложения;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line="276" w:lineRule="auto"/>
        <w:ind w:left="42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Отразить результаты практической значимости;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line="276" w:lineRule="auto"/>
        <w:ind w:left="42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Прописать предложения по совершенствованию и модернизации КС в дальнейшем.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Примечание: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ПМ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профессиональный модуль; 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МДК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междисциплинарный курс;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профессиональные компетенции;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общие компетенции.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Тема курсового проекта рассмотрена на заседании П(Ц)К спец. 09.02.06 «Сетевое и системное администрирование»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D4D0E"/>
    <w:pPr>
      <w:spacing w:after="0" w:line="240" w:lineRule="auto"/>
    </w:pPr>
    <w:rPr>
      <w:rFonts w:cs="Times New Roman" w:eastAsiaTheme="minorEastAsia"/>
      <w:sz w:val="24"/>
      <w:szCs w:val="24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D4D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QdlzRRTMgKEHVZdRpwRi4qiYhQ==">CgMxLjAyCGguZ2pkZ3hzOAByITF3aGF2R0ttNl9xcFlWenZYclptUWtpODZqSHlWX2d0Ug==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2024-02-01T12:51:00Z</dcterms:created>
  <dc:creator>Травкина Юлия Игоревна</dc:creator>
</cp:coreProperties>
</file>