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1CFF6" w14:textId="18E1BB62" w:rsidR="00F67C75" w:rsidRPr="00F67C75" w:rsidRDefault="00F67C75" w:rsidP="00F67C75">
      <w:pPr>
        <w:rPr>
          <w:lang w:val="en-US"/>
        </w:rPr>
      </w:pPr>
      <w:r w:rsidRPr="00F67C75">
        <w:rPr>
          <w:b/>
          <w:bCs/>
          <w:lang w:val="en-US"/>
        </w:rPr>
        <w:t xml:space="preserve">Methods:: </w:t>
      </w:r>
      <w:r w:rsidRPr="00F67C75">
        <w:rPr>
          <w:b/>
          <w:bCs/>
          <w:lang w:val="en-US"/>
        </w:rPr>
        <w:t>Assessment of risk of bias in included studies</w:t>
      </w:r>
    </w:p>
    <w:p w14:paraId="5313D4A0" w14:textId="77777777" w:rsidR="00F67C75" w:rsidRPr="00F67C75" w:rsidRDefault="00F67C75" w:rsidP="00F67C75">
      <w:pPr>
        <w:rPr>
          <w:lang w:val="en-US"/>
        </w:rPr>
      </w:pPr>
      <w:r w:rsidRPr="00F67C75">
        <w:rPr>
          <w:lang w:val="en-US"/>
        </w:rPr>
        <w:t xml:space="preserve">Two authors (GA, AN) independently assessed the risk of bias in each included study using the </w:t>
      </w:r>
      <w:proofErr w:type="spellStart"/>
      <w:r w:rsidRPr="00F67C75">
        <w:rPr>
          <w:lang w:val="en-US"/>
        </w:rPr>
        <w:t>QUality</w:t>
      </w:r>
      <w:proofErr w:type="spellEnd"/>
      <w:r w:rsidRPr="00F67C75">
        <w:rPr>
          <w:lang w:val="en-US"/>
        </w:rPr>
        <w:t xml:space="preserve"> In Prognosis Studies (QUIPS) tool (</w:t>
      </w:r>
      <w:hyperlink r:id="rId5" w:anchor="CD013848-bbs2-0065" w:tooltip="HaydenJA , Van der WindtDA , CartwrightJL , CôtéP , BombardierC . Assessing bias in studies of prognostic factors. Annals of Internal Medicine2013;158(4):280-6." w:history="1">
        <w:r w:rsidRPr="00F67C75">
          <w:rPr>
            <w:rStyle w:val="Hyperlink"/>
            <w:lang w:val="en-US"/>
          </w:rPr>
          <w:t>Hayden 2013</w:t>
        </w:r>
      </w:hyperlink>
      <w:r w:rsidRPr="00F67C75">
        <w:rPr>
          <w:lang w:val="en-US"/>
        </w:rPr>
        <w:t>; see </w:t>
      </w:r>
      <w:hyperlink r:id="rId6" w:anchor="CD013848-sec-0079" w:history="1">
        <w:r w:rsidRPr="00F67C75">
          <w:rPr>
            <w:rStyle w:val="Hyperlink"/>
            <w:lang w:val="en-US"/>
          </w:rPr>
          <w:t>Appendix 6</w:t>
        </w:r>
      </w:hyperlink>
      <w:r w:rsidRPr="00F67C75">
        <w:rPr>
          <w:lang w:val="en-US"/>
        </w:rPr>
        <w:t>). This tool is specifically designed for assessing the risk of bias in studies of prognostic factors, and includes six domains:</w:t>
      </w:r>
    </w:p>
    <w:p w14:paraId="3AD0EA2C" w14:textId="77777777" w:rsidR="00F67C75" w:rsidRPr="00F67C75" w:rsidRDefault="00F67C75" w:rsidP="00F67C75">
      <w:pPr>
        <w:numPr>
          <w:ilvl w:val="0"/>
          <w:numId w:val="1"/>
        </w:numPr>
      </w:pPr>
      <w:proofErr w:type="spellStart"/>
      <w:r w:rsidRPr="00F67C75">
        <w:t>study</w:t>
      </w:r>
      <w:proofErr w:type="spellEnd"/>
      <w:r w:rsidRPr="00F67C75">
        <w:t xml:space="preserve"> </w:t>
      </w:r>
      <w:proofErr w:type="spellStart"/>
      <w:r w:rsidRPr="00F67C75">
        <w:t>participation</w:t>
      </w:r>
      <w:proofErr w:type="spellEnd"/>
      <w:r w:rsidRPr="00F67C75">
        <w:t>;</w:t>
      </w:r>
    </w:p>
    <w:p w14:paraId="7BB470F9" w14:textId="77777777" w:rsidR="00F67C75" w:rsidRPr="00F67C75" w:rsidRDefault="00F67C75" w:rsidP="00F67C75">
      <w:pPr>
        <w:numPr>
          <w:ilvl w:val="0"/>
          <w:numId w:val="1"/>
        </w:numPr>
      </w:pPr>
      <w:proofErr w:type="spellStart"/>
      <w:r w:rsidRPr="00F67C75">
        <w:t>study</w:t>
      </w:r>
      <w:proofErr w:type="spellEnd"/>
      <w:r w:rsidRPr="00F67C75">
        <w:t xml:space="preserve"> </w:t>
      </w:r>
      <w:proofErr w:type="spellStart"/>
      <w:r w:rsidRPr="00F67C75">
        <w:t>attrition</w:t>
      </w:r>
      <w:proofErr w:type="spellEnd"/>
      <w:r w:rsidRPr="00F67C75">
        <w:t>;</w:t>
      </w:r>
    </w:p>
    <w:p w14:paraId="545EFC3D" w14:textId="77777777" w:rsidR="00F67C75" w:rsidRPr="00F67C75" w:rsidRDefault="00F67C75" w:rsidP="00F67C75">
      <w:pPr>
        <w:numPr>
          <w:ilvl w:val="0"/>
          <w:numId w:val="1"/>
        </w:numPr>
      </w:pPr>
      <w:proofErr w:type="spellStart"/>
      <w:r w:rsidRPr="00F67C75">
        <w:t>prognostic</w:t>
      </w:r>
      <w:proofErr w:type="spellEnd"/>
      <w:r w:rsidRPr="00F67C75">
        <w:t xml:space="preserve"> factor </w:t>
      </w:r>
      <w:proofErr w:type="spellStart"/>
      <w:r w:rsidRPr="00F67C75">
        <w:t>measurement</w:t>
      </w:r>
      <w:proofErr w:type="spellEnd"/>
      <w:r w:rsidRPr="00F67C75">
        <w:t>;</w:t>
      </w:r>
    </w:p>
    <w:p w14:paraId="5AFF8CB2" w14:textId="77777777" w:rsidR="00F67C75" w:rsidRPr="00F67C75" w:rsidRDefault="00F67C75" w:rsidP="00F67C75">
      <w:pPr>
        <w:numPr>
          <w:ilvl w:val="0"/>
          <w:numId w:val="1"/>
        </w:numPr>
      </w:pPr>
      <w:proofErr w:type="spellStart"/>
      <w:r w:rsidRPr="00F67C75">
        <w:t>outcome</w:t>
      </w:r>
      <w:proofErr w:type="spellEnd"/>
      <w:r w:rsidRPr="00F67C75">
        <w:t xml:space="preserve"> </w:t>
      </w:r>
      <w:proofErr w:type="spellStart"/>
      <w:r w:rsidRPr="00F67C75">
        <w:t>measurement</w:t>
      </w:r>
      <w:proofErr w:type="spellEnd"/>
      <w:r w:rsidRPr="00F67C75">
        <w:t>;</w:t>
      </w:r>
    </w:p>
    <w:p w14:paraId="18C56F05" w14:textId="77777777" w:rsidR="00F67C75" w:rsidRPr="00F67C75" w:rsidRDefault="00F67C75" w:rsidP="00F67C75">
      <w:pPr>
        <w:numPr>
          <w:ilvl w:val="0"/>
          <w:numId w:val="1"/>
        </w:numPr>
        <w:rPr>
          <w:lang w:val="en-US"/>
        </w:rPr>
      </w:pPr>
      <w:r w:rsidRPr="00F67C75">
        <w:rPr>
          <w:lang w:val="en-US"/>
        </w:rPr>
        <w:t>adjustment for other prognostic factors;</w:t>
      </w:r>
    </w:p>
    <w:p w14:paraId="6940CAEF" w14:textId="77777777" w:rsidR="00F67C75" w:rsidRPr="00F67C75" w:rsidRDefault="00F67C75" w:rsidP="00F67C75">
      <w:pPr>
        <w:numPr>
          <w:ilvl w:val="0"/>
          <w:numId w:val="1"/>
        </w:numPr>
      </w:pPr>
      <w:proofErr w:type="spellStart"/>
      <w:r w:rsidRPr="00F67C75">
        <w:t>statistical</w:t>
      </w:r>
      <w:proofErr w:type="spellEnd"/>
      <w:r w:rsidRPr="00F67C75">
        <w:t xml:space="preserve"> analysis </w:t>
      </w:r>
      <w:proofErr w:type="spellStart"/>
      <w:r w:rsidRPr="00F67C75">
        <w:t>and</w:t>
      </w:r>
      <w:proofErr w:type="spellEnd"/>
      <w:r w:rsidRPr="00F67C75">
        <w:t xml:space="preserve"> reporting.</w:t>
      </w:r>
    </w:p>
    <w:p w14:paraId="75B634E6" w14:textId="77777777" w:rsidR="00F67C75" w:rsidRPr="00F67C75" w:rsidRDefault="00F67C75" w:rsidP="00F67C75">
      <w:pPr>
        <w:rPr>
          <w:lang w:val="en-US"/>
        </w:rPr>
      </w:pPr>
      <w:r w:rsidRPr="00F67C75">
        <w:rPr>
          <w:lang w:val="en-US"/>
        </w:rPr>
        <w:t>In line with Cochrane recommendations for prognostic factor reviews (</w:t>
      </w:r>
      <w:proofErr w:type="spellStart"/>
      <w:r w:rsidRPr="00F67C75">
        <w:fldChar w:fldCharType="begin"/>
      </w:r>
      <w:r w:rsidRPr="00F67C75">
        <w:rPr>
          <w:lang w:val="en-US"/>
        </w:rPr>
        <w:instrText xml:space="preserve"> HYPERLINK "https://www.cochranelibrary.com/cdsr/doi/10.1002/14651858.CD013848.pub2/references" \l "CD013848-bbs2-0055" \o "BoutronI , PageMJ , HigginsJP , AltmanDG , LundhA , HróbjartssonA . Chapter 7: Considering bias and conflicts of interest among the included studies. In: Higgins JP, Thomas J, Chandler J, Cumpston M, Li T, Page MJ, Welch VA, editors. Cochrane Handbook for Systematic Reviews of Interventions version 6.5 (updated February 2024). Cochrane, 2024. Available from: www.training.cochrane.org/handbook." </w:instrText>
      </w:r>
      <w:r w:rsidRPr="00F67C75">
        <w:fldChar w:fldCharType="separate"/>
      </w:r>
      <w:r w:rsidRPr="00F67C75">
        <w:rPr>
          <w:rStyle w:val="Hyperlink"/>
          <w:lang w:val="en-US"/>
        </w:rPr>
        <w:t>Boutron</w:t>
      </w:r>
      <w:proofErr w:type="spellEnd"/>
      <w:r w:rsidRPr="00F67C75">
        <w:rPr>
          <w:rStyle w:val="Hyperlink"/>
          <w:lang w:val="en-US"/>
        </w:rPr>
        <w:t xml:space="preserve"> 2024</w:t>
      </w:r>
      <w:r w:rsidRPr="00F67C75">
        <w:fldChar w:fldCharType="end"/>
      </w:r>
      <w:r w:rsidRPr="00F67C75">
        <w:rPr>
          <w:lang w:val="en-US"/>
        </w:rPr>
        <w:t>, section 7.6.2), we replaced the standard 'confounding' domain with 'adjustment for other prognostic factors' to reflect the review's focus on covariate adjustment rather than confounding per se. We made no additional modifications to the QUIPS tool.</w:t>
      </w:r>
    </w:p>
    <w:p w14:paraId="6A1841FB" w14:textId="77777777" w:rsidR="00F67C75" w:rsidRPr="00F67C75" w:rsidRDefault="00F67C75" w:rsidP="00F67C75">
      <w:pPr>
        <w:rPr>
          <w:lang w:val="en-US"/>
        </w:rPr>
      </w:pPr>
      <w:r w:rsidRPr="00F67C75">
        <w:rPr>
          <w:lang w:val="en-US"/>
        </w:rPr>
        <w:t>Before formal assessment, we conducted a pilot test of the QUIPS tool to ensure consistent interpretation and application of each domain amongst review authors. We resolved any disagreements between assessors through discussion to reach consensus without needing involvement from a third review author. Working independently, GA and LB assessed the risk of bias of the </w:t>
      </w:r>
      <w:hyperlink r:id="rId7" w:anchor="CD013848-bbs2-0003" w:tooltip="BellGS , NeliganA , GiavasiC , KeezerMR , NovyJ , PeacockJL , et al. Outcome of seizures in the general population after 25 years: a prospective follow-up, observational cohort study. Journal of Neurology, Neurosurgery &amp; Psychiatry2016;87(8):843-50. " w:history="1">
        <w:r w:rsidRPr="00F67C75">
          <w:rPr>
            <w:rStyle w:val="Hyperlink"/>
            <w:lang w:val="en-US"/>
          </w:rPr>
          <w:t>Bell 2016</w:t>
        </w:r>
      </w:hyperlink>
      <w:r w:rsidRPr="00F67C75">
        <w:rPr>
          <w:lang w:val="en-US"/>
        </w:rPr>
        <w:t> study, which AN co‐authored, to mitigate potential bias.</w:t>
      </w:r>
    </w:p>
    <w:p w14:paraId="3FA81FB6" w14:textId="26DE64E3" w:rsidR="00F67C75" w:rsidRDefault="00F67C75" w:rsidP="00F67C75">
      <w:pPr>
        <w:rPr>
          <w:lang w:val="en-US"/>
        </w:rPr>
      </w:pPr>
      <w:r w:rsidRPr="00F67C75">
        <w:rPr>
          <w:lang w:val="en-US"/>
        </w:rPr>
        <w:t>We rated each risk of bias domain as low, unclear, or high. We considered studies to have an overall low risk of bias if most QUIPS domains (i.e. at least four of six) were rated as low risk and none were rated as high risk. This rule was prespecified and applied consistently across all studies.</w:t>
      </w:r>
    </w:p>
    <w:p w14:paraId="3CD11A7A" w14:textId="3CF19522" w:rsidR="00F67C75" w:rsidRDefault="00F67C75" w:rsidP="00F67C75">
      <w:pPr>
        <w:rPr>
          <w:lang w:val="en-US"/>
        </w:rPr>
      </w:pPr>
    </w:p>
    <w:p w14:paraId="1B9762C1" w14:textId="77777777" w:rsidR="00F67C75" w:rsidRPr="00F67C75" w:rsidRDefault="00F67C75" w:rsidP="00F67C75">
      <w:pPr>
        <w:rPr>
          <w:b/>
          <w:bCs/>
          <w:lang w:val="en-US"/>
        </w:rPr>
      </w:pPr>
      <w:r w:rsidRPr="00F67C75">
        <w:rPr>
          <w:b/>
          <w:bCs/>
          <w:lang w:val="en-US"/>
        </w:rPr>
        <w:t>Appendix 6. Assessing bias</w:t>
      </w:r>
    </w:p>
    <w:p w14:paraId="19B44C79" w14:textId="77777777" w:rsidR="00F67C75" w:rsidRPr="00F67C75" w:rsidRDefault="00F67C75" w:rsidP="00F67C75">
      <w:pPr>
        <w:rPr>
          <w:lang w:val="en-US"/>
        </w:rPr>
      </w:pPr>
      <w:r w:rsidRPr="00F67C75">
        <w:rPr>
          <w:lang w:val="en-US"/>
        </w:rPr>
        <w:t>We used a modified version of the quality assessment strategy recommended by Hayden and colleagues to assess the quality of included studies (</w:t>
      </w:r>
      <w:hyperlink r:id="rId8" w:anchor="CD013848-bbs2-0065" w:tooltip="HaydenJA , Van der WindtDA , CartwrightJL , CôtéP , BombardierC . Assessing bias in studies of prognostic factors. Annals of Internal Medicine2013;158(4):280-6." w:history="1">
        <w:r w:rsidRPr="00F67C75">
          <w:rPr>
            <w:rStyle w:val="Hyperlink"/>
            <w:lang w:val="en-US"/>
          </w:rPr>
          <w:t>Hayden 2013</w:t>
        </w:r>
      </w:hyperlink>
      <w:r w:rsidRPr="00F67C75">
        <w:rPr>
          <w:lang w:val="en-US"/>
        </w:rPr>
        <w:t>). This assessment covered six domains of potential bias: study participation, study attrition, prognostic factors measurement, outcome measurement (seizure recurrence, death), study confounding, statistical analysis, and reporting. Our approach assessed the risk of bias by considering responses to the prompting items for all reported prognostic factors together (in addition to any missing or unclear information).</w:t>
      </w:r>
    </w:p>
    <w:p w14:paraId="34E686F0" w14:textId="767A15DC" w:rsidR="00F67C75" w:rsidRDefault="00F67C75" w:rsidP="00F67C75">
      <w:pPr>
        <w:rPr>
          <w:lang w:val="en-US"/>
        </w:rPr>
      </w:pPr>
      <w:r w:rsidRPr="00F67C75">
        <w:rPr>
          <w:lang w:val="en-US"/>
        </w:rPr>
        <w:t>The issues to consider for judging the overall rating of risk of bias for each domain are listed below. We provided study methods and comments, in addition to a rating of reporting within the review.</w:t>
      </w:r>
    </w:p>
    <w:p w14:paraId="44A587F7" w14:textId="1D5DF011" w:rsidR="00F67C75" w:rsidRDefault="00F67C75" w:rsidP="00F67C75">
      <w:pPr>
        <w:rPr>
          <w:lang w:val="en-US"/>
        </w:rPr>
      </w:pPr>
    </w:p>
    <w:p w14:paraId="18DA2ABB" w14:textId="71459ECF" w:rsidR="00F67C75" w:rsidRDefault="00F67C75" w:rsidP="00F67C75">
      <w:pPr>
        <w:rPr>
          <w:lang w:val="en-US"/>
        </w:rPr>
      </w:pPr>
      <w:r>
        <w:rPr>
          <w:lang w:val="en-US"/>
        </w:rPr>
        <w:br w:type="page"/>
      </w:r>
    </w:p>
    <w:p w14:paraId="468CF8C5" w14:textId="77777777" w:rsidR="00F67C75" w:rsidRPr="00F67C75" w:rsidRDefault="00F67C75" w:rsidP="00F67C75">
      <w:pPr>
        <w:rPr>
          <w:b/>
          <w:bCs/>
          <w:lang w:val="en-US"/>
        </w:rPr>
      </w:pPr>
      <w:r w:rsidRPr="00F67C75">
        <w:rPr>
          <w:b/>
          <w:bCs/>
          <w:lang w:val="en-US"/>
        </w:rPr>
        <w:lastRenderedPageBreak/>
        <w:t>Bias: study participation</w:t>
      </w:r>
    </w:p>
    <w:p w14:paraId="29307B3A" w14:textId="77777777" w:rsidR="00F67C75" w:rsidRPr="00F67C75" w:rsidRDefault="00F67C75" w:rsidP="00F67C75">
      <w:pPr>
        <w:rPr>
          <w:b/>
          <w:bCs/>
          <w:lang w:val="en-US"/>
        </w:rPr>
      </w:pPr>
      <w:r w:rsidRPr="00F67C75">
        <w:rPr>
          <w:b/>
          <w:bCs/>
          <w:lang w:val="en-US"/>
        </w:rPr>
        <w:t>Goal: To judge the risk of selection bias (likelihood that the relationship between prognostic factors (PF) and outcome is different for participants and eligible non‐participants)</w:t>
      </w:r>
    </w:p>
    <w:tbl>
      <w:tblPr>
        <w:tblW w:w="0" w:type="dxa"/>
        <w:tblBorders>
          <w:top w:val="single" w:sz="6" w:space="0" w:color="696969"/>
        </w:tblBorders>
        <w:tblCellMar>
          <w:top w:w="15" w:type="dxa"/>
          <w:left w:w="15" w:type="dxa"/>
          <w:bottom w:w="15" w:type="dxa"/>
          <w:right w:w="15" w:type="dxa"/>
        </w:tblCellMar>
        <w:tblLook w:val="04A0" w:firstRow="1" w:lastRow="0" w:firstColumn="1" w:lastColumn="0" w:noHBand="0" w:noVBand="1"/>
      </w:tblPr>
      <w:tblGrid>
        <w:gridCol w:w="1767"/>
        <w:gridCol w:w="7297"/>
      </w:tblGrid>
      <w:tr w:rsidR="00F67C75" w:rsidRPr="00F67C75" w14:paraId="0BA92DF5" w14:textId="77777777" w:rsidTr="00F67C75">
        <w:tc>
          <w:tcPr>
            <w:tcW w:w="0" w:type="auto"/>
            <w:gridSpan w:val="2"/>
            <w:tcBorders>
              <w:top w:val="nil"/>
              <w:left w:val="nil"/>
              <w:bottom w:val="single" w:sz="6" w:space="0" w:color="696969"/>
              <w:right w:val="single" w:sz="6" w:space="0" w:color="auto"/>
            </w:tcBorders>
            <w:shd w:val="clear" w:color="auto" w:fill="auto"/>
            <w:tcMar>
              <w:top w:w="120" w:type="dxa"/>
              <w:left w:w="120" w:type="dxa"/>
              <w:bottom w:w="120" w:type="dxa"/>
              <w:right w:w="120" w:type="dxa"/>
            </w:tcMar>
            <w:hideMark/>
          </w:tcPr>
          <w:p w14:paraId="43F43BDC" w14:textId="77777777" w:rsidR="00F67C75" w:rsidRPr="00F67C75" w:rsidRDefault="00F67C75" w:rsidP="00F67C75">
            <w:pPr>
              <w:rPr>
                <w:b/>
                <w:bCs/>
                <w:lang w:val="en-US"/>
              </w:rPr>
            </w:pPr>
            <w:r w:rsidRPr="00F67C75">
              <w:rPr>
                <w:b/>
                <w:bCs/>
                <w:lang w:val="en-US"/>
              </w:rPr>
              <w:t>Issues to consider for judging overall rating of risk of bias</w:t>
            </w:r>
          </w:p>
        </w:tc>
      </w:tr>
      <w:tr w:rsidR="00F67C75" w:rsidRPr="00F67C75" w14:paraId="00C33919"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7454CAF8" w14:textId="77777777" w:rsidR="00F67C75" w:rsidRPr="00F67C75" w:rsidRDefault="00F67C75" w:rsidP="00F67C75">
            <w:r w:rsidRPr="00F67C75">
              <w:t xml:space="preserve">Source of target </w:t>
            </w:r>
            <w:proofErr w:type="spellStart"/>
            <w:r w:rsidRPr="00F67C75">
              <w:t>population</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73FB8A6C" w14:textId="77777777" w:rsidR="00F67C75" w:rsidRPr="00F67C75" w:rsidRDefault="00F67C75" w:rsidP="00F67C75">
            <w:pPr>
              <w:rPr>
                <w:lang w:val="en-US"/>
              </w:rPr>
            </w:pPr>
            <w:r w:rsidRPr="00F67C75">
              <w:rPr>
                <w:lang w:val="en-US"/>
              </w:rPr>
              <w:t xml:space="preserve">The source population, or population of interest, is adequately described, including who the target population is (e.g. all people with a single unprovoked seizure, or people with a specific type of seizure, focal onset or </w:t>
            </w:r>
            <w:proofErr w:type="spellStart"/>
            <w:r w:rsidRPr="00F67C75">
              <w:rPr>
                <w:lang w:val="en-US"/>
              </w:rPr>
              <w:t>generalised</w:t>
            </w:r>
            <w:proofErr w:type="spellEnd"/>
            <w:r w:rsidRPr="00F67C75">
              <w:rPr>
                <w:lang w:val="en-US"/>
              </w:rPr>
              <w:t xml:space="preserve">, or a single seizure occurring after a specific </w:t>
            </w:r>
            <w:proofErr w:type="spellStart"/>
            <w:r w:rsidRPr="00F67C75">
              <w:rPr>
                <w:lang w:val="en-US"/>
              </w:rPr>
              <w:t>aetiology</w:t>
            </w:r>
            <w:proofErr w:type="spellEnd"/>
            <w:r w:rsidRPr="00F67C75">
              <w:rPr>
                <w:lang w:val="en-US"/>
              </w:rPr>
              <w:t xml:space="preserve"> e.g. post‐traumatic seizure), when (time period of study), where (tertiary care epilepsy clinic, First Seizure Clinic, general neurology or </w:t>
            </w:r>
            <w:proofErr w:type="spellStart"/>
            <w:r w:rsidRPr="00F67C75">
              <w:rPr>
                <w:lang w:val="en-US"/>
              </w:rPr>
              <w:t>paediatric</w:t>
            </w:r>
            <w:proofErr w:type="spellEnd"/>
            <w:r w:rsidRPr="00F67C75">
              <w:rPr>
                <w:lang w:val="en-US"/>
              </w:rPr>
              <w:t xml:space="preserve"> clinic, Accident and Emergency, primary care, community), and how (description of recruitment strategy – referrals from Accident and Emergency, primary care).</w:t>
            </w:r>
          </w:p>
          <w:p w14:paraId="13FA34AB" w14:textId="77777777" w:rsidR="00F67C75" w:rsidRPr="00F67C75" w:rsidRDefault="00F67C75" w:rsidP="00F67C75">
            <w:pPr>
              <w:rPr>
                <w:lang w:val="en-US"/>
              </w:rPr>
            </w:pPr>
            <w:r w:rsidRPr="00F67C75">
              <w:rPr>
                <w:lang w:val="en-US"/>
              </w:rPr>
              <w:t xml:space="preserve">Comprehensive description would include demographic (age, sex, date of seizure), relevant comorbidities and history (history of childhood febrile seizures, previous head injury, previous cerebrovascular accident, dementia), seizure type (focal, </w:t>
            </w:r>
            <w:proofErr w:type="spellStart"/>
            <w:r w:rsidRPr="00F67C75">
              <w:rPr>
                <w:lang w:val="en-US"/>
              </w:rPr>
              <w:t>generalised</w:t>
            </w:r>
            <w:proofErr w:type="spellEnd"/>
            <w:r w:rsidRPr="00F67C75">
              <w:rPr>
                <w:lang w:val="en-US"/>
              </w:rPr>
              <w:t>, undefined), and whether any treatment (anti‐epileptic medication) was initiated, and for how long.</w:t>
            </w:r>
          </w:p>
        </w:tc>
      </w:tr>
      <w:tr w:rsidR="00F67C75" w:rsidRPr="00F67C75" w14:paraId="1E7E291C"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5C7237AA" w14:textId="77777777" w:rsidR="00F67C75" w:rsidRPr="00F67C75" w:rsidRDefault="00F67C75" w:rsidP="00F67C75">
            <w:pPr>
              <w:rPr>
                <w:lang w:val="en-US"/>
              </w:rPr>
            </w:pPr>
            <w:r w:rsidRPr="00F67C75">
              <w:rPr>
                <w:lang w:val="en-US"/>
              </w:rPr>
              <w:t>Method used to identify population</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24CE6ED2" w14:textId="77777777" w:rsidR="00F67C75" w:rsidRPr="00F67C75" w:rsidRDefault="00F67C75" w:rsidP="00F67C75">
            <w:pPr>
              <w:rPr>
                <w:lang w:val="en-US"/>
              </w:rPr>
            </w:pPr>
            <w:r w:rsidRPr="00F67C75">
              <w:rPr>
                <w:lang w:val="en-US"/>
              </w:rPr>
              <w:t>Recruitment methodology is adequately described (direct referrals from primary care, Accident and Emergency), or is identified directly from the community (method of case ascertainment is clearly described).</w:t>
            </w:r>
          </w:p>
        </w:tc>
      </w:tr>
      <w:tr w:rsidR="00F67C75" w:rsidRPr="00F67C75" w14:paraId="40C7B84D"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68FBE133" w14:textId="77777777" w:rsidR="00F67C75" w:rsidRPr="00F67C75" w:rsidRDefault="00F67C75" w:rsidP="00F67C75">
            <w:r w:rsidRPr="00F67C75">
              <w:t xml:space="preserve">Recruitment </w:t>
            </w:r>
            <w:proofErr w:type="spellStart"/>
            <w:r w:rsidRPr="00F67C75">
              <w:t>period</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21FB4D0D" w14:textId="77777777" w:rsidR="00F67C75" w:rsidRPr="00F67C75" w:rsidRDefault="00F67C75" w:rsidP="00F67C75">
            <w:pPr>
              <w:rPr>
                <w:lang w:val="en-US"/>
              </w:rPr>
            </w:pPr>
            <w:r w:rsidRPr="00F67C75">
              <w:rPr>
                <w:lang w:val="en-US"/>
              </w:rPr>
              <w:t>Place of recruitment (setting – e.g. First Seizure Clinic, and geographic location) are adequately described.</w:t>
            </w:r>
          </w:p>
        </w:tc>
      </w:tr>
      <w:tr w:rsidR="00F67C75" w:rsidRPr="00F67C75" w14:paraId="7A592385"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48F62DE0" w14:textId="77777777" w:rsidR="00F67C75" w:rsidRPr="00F67C75" w:rsidRDefault="00F67C75" w:rsidP="00F67C75">
            <w:proofErr w:type="spellStart"/>
            <w:r w:rsidRPr="00F67C75">
              <w:t>Inclusion</w:t>
            </w:r>
            <w:proofErr w:type="spellEnd"/>
            <w:r w:rsidRPr="00F67C75">
              <w:t xml:space="preserve"> </w:t>
            </w:r>
            <w:proofErr w:type="spellStart"/>
            <w:r w:rsidRPr="00F67C75">
              <w:t>and</w:t>
            </w:r>
            <w:proofErr w:type="spellEnd"/>
            <w:r w:rsidRPr="00F67C75">
              <w:t xml:space="preserve"> </w:t>
            </w:r>
            <w:proofErr w:type="spellStart"/>
            <w:r w:rsidRPr="00F67C75">
              <w:t>exclusion</w:t>
            </w:r>
            <w:proofErr w:type="spellEnd"/>
            <w:r w:rsidRPr="00F67C75">
              <w:t xml:space="preserve"> criteria</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274AC44A" w14:textId="77777777" w:rsidR="00F67C75" w:rsidRPr="00F67C75" w:rsidRDefault="00F67C75" w:rsidP="00F67C75">
            <w:pPr>
              <w:rPr>
                <w:lang w:val="en-US"/>
              </w:rPr>
            </w:pPr>
            <w:r w:rsidRPr="00F67C75">
              <w:rPr>
                <w:lang w:val="en-US"/>
              </w:rPr>
              <w:t>Inclusion and exclusion criteria are adequately described, and define a discrete group with a single unprovoked seizure. In particular, people with provoked (acute symptomatic) seizures are specifically excluded, as people referred with a single seizure and have had a recurrence by the time of initial review in clinic are excluded, or people are included as a seizure relapse, with an accurate timeframe established.</w:t>
            </w:r>
          </w:p>
        </w:tc>
      </w:tr>
      <w:tr w:rsidR="00F67C75" w:rsidRPr="00F67C75" w14:paraId="1A5737B7"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48B4A0F3" w14:textId="77777777" w:rsidR="00F67C75" w:rsidRPr="00F67C75" w:rsidRDefault="00F67C75" w:rsidP="00F67C75">
            <w:r w:rsidRPr="00F67C75">
              <w:t xml:space="preserve">Adequate </w:t>
            </w:r>
            <w:proofErr w:type="spellStart"/>
            <w:r w:rsidRPr="00F67C75">
              <w:t>study</w:t>
            </w:r>
            <w:proofErr w:type="spellEnd"/>
            <w:r w:rsidRPr="00F67C75">
              <w:t xml:space="preserve"> </w:t>
            </w:r>
            <w:proofErr w:type="spellStart"/>
            <w:r w:rsidRPr="00F67C75">
              <w:t>participation</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548F5907" w14:textId="77777777" w:rsidR="00F67C75" w:rsidRPr="00F67C75" w:rsidRDefault="00F67C75" w:rsidP="00F67C75">
            <w:pPr>
              <w:rPr>
                <w:lang w:val="en-US"/>
              </w:rPr>
            </w:pPr>
            <w:r w:rsidRPr="00F67C75">
              <w:rPr>
                <w:lang w:val="en-US"/>
              </w:rPr>
              <w:t>The baseline characteristics of the individuals enrolled are adequately described. This would include age, sex, date of seizure, seizure type, and any identified risk factors for epilepsy or comorbidities.</w:t>
            </w:r>
          </w:p>
        </w:tc>
      </w:tr>
      <w:tr w:rsidR="00F67C75" w:rsidRPr="00F67C75" w14:paraId="07CD422E" w14:textId="77777777" w:rsidTr="00F67C75">
        <w:tc>
          <w:tcPr>
            <w:tcW w:w="0" w:type="auto"/>
            <w:gridSpan w:val="2"/>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1F01169D" w14:textId="77777777" w:rsidR="00F67C75" w:rsidRPr="00F67C75" w:rsidRDefault="00F67C75" w:rsidP="00F67C75">
            <w:pPr>
              <w:rPr>
                <w:lang w:val="en-US"/>
              </w:rPr>
            </w:pPr>
            <w:r w:rsidRPr="00F67C75">
              <w:rPr>
                <w:b/>
                <w:bCs/>
                <w:lang w:val="en-US"/>
              </w:rPr>
              <w:t>Summary study participation:</w:t>
            </w:r>
            <w:r w:rsidRPr="00F67C75">
              <w:rPr>
                <w:lang w:val="en-US"/>
              </w:rPr>
              <w:t> The study sample represents the population of interest on key characteristics, sufficient to limit potential bias of the observed relationship between PF and outcome (low, moderate, or high risk of bias).</w:t>
            </w:r>
          </w:p>
        </w:tc>
      </w:tr>
    </w:tbl>
    <w:p w14:paraId="16EA6DF4" w14:textId="77777777" w:rsidR="00F67C75" w:rsidRPr="00F67C75" w:rsidRDefault="00F67C75" w:rsidP="00F67C75">
      <w:pPr>
        <w:rPr>
          <w:lang w:val="en-US"/>
        </w:rPr>
      </w:pPr>
    </w:p>
    <w:p w14:paraId="18AF3897" w14:textId="151AC19D" w:rsidR="00F67C75" w:rsidRPr="00F67C75" w:rsidRDefault="00F67C75">
      <w:pPr>
        <w:rPr>
          <w:lang w:val="en-US"/>
        </w:rPr>
      </w:pPr>
    </w:p>
    <w:p w14:paraId="1E8535C7" w14:textId="77777777" w:rsidR="00F67C75" w:rsidRPr="00F67C75" w:rsidRDefault="00F67C75" w:rsidP="00F67C75">
      <w:pPr>
        <w:rPr>
          <w:b/>
          <w:bCs/>
          <w:lang w:val="en-US"/>
        </w:rPr>
      </w:pPr>
      <w:r w:rsidRPr="00F67C75">
        <w:rPr>
          <w:b/>
          <w:bCs/>
          <w:lang w:val="en-US"/>
        </w:rPr>
        <w:lastRenderedPageBreak/>
        <w:t>Bias: study attrition</w:t>
      </w:r>
    </w:p>
    <w:p w14:paraId="776CD527" w14:textId="77777777" w:rsidR="00F67C75" w:rsidRPr="00F67C75" w:rsidRDefault="00F67C75" w:rsidP="00F67C75">
      <w:pPr>
        <w:rPr>
          <w:b/>
          <w:bCs/>
          <w:lang w:val="en-US"/>
        </w:rPr>
      </w:pPr>
      <w:r w:rsidRPr="00F67C75">
        <w:rPr>
          <w:b/>
          <w:bCs/>
          <w:lang w:val="en-US"/>
        </w:rPr>
        <w:t>Goal: To judge the risk of attrition bias (likelihood that relationship between PF and outcome are different for completing and non‐completing participants</w:t>
      </w:r>
    </w:p>
    <w:tbl>
      <w:tblPr>
        <w:tblW w:w="0" w:type="dxa"/>
        <w:tblBorders>
          <w:top w:val="single" w:sz="6" w:space="0" w:color="696969"/>
        </w:tblBorders>
        <w:tblCellMar>
          <w:top w:w="15" w:type="dxa"/>
          <w:left w:w="15" w:type="dxa"/>
          <w:bottom w:w="15" w:type="dxa"/>
          <w:right w:w="15" w:type="dxa"/>
        </w:tblCellMar>
        <w:tblLook w:val="04A0" w:firstRow="1" w:lastRow="0" w:firstColumn="1" w:lastColumn="0" w:noHBand="0" w:noVBand="1"/>
      </w:tblPr>
      <w:tblGrid>
        <w:gridCol w:w="3187"/>
        <w:gridCol w:w="5877"/>
      </w:tblGrid>
      <w:tr w:rsidR="00F67C75" w:rsidRPr="00F67C75" w14:paraId="43C679B5" w14:textId="77777777" w:rsidTr="00F67C75">
        <w:tc>
          <w:tcPr>
            <w:tcW w:w="0" w:type="auto"/>
            <w:gridSpan w:val="2"/>
            <w:tcBorders>
              <w:top w:val="nil"/>
              <w:left w:val="nil"/>
              <w:bottom w:val="single" w:sz="6" w:space="0" w:color="696969"/>
              <w:right w:val="single" w:sz="6" w:space="0" w:color="auto"/>
            </w:tcBorders>
            <w:shd w:val="clear" w:color="auto" w:fill="auto"/>
            <w:tcMar>
              <w:top w:w="120" w:type="dxa"/>
              <w:left w:w="120" w:type="dxa"/>
              <w:bottom w:w="120" w:type="dxa"/>
              <w:right w:w="120" w:type="dxa"/>
            </w:tcMar>
            <w:hideMark/>
          </w:tcPr>
          <w:p w14:paraId="253A2C69" w14:textId="77777777" w:rsidR="00F67C75" w:rsidRPr="00F67C75" w:rsidRDefault="00F67C75" w:rsidP="00F67C75">
            <w:pPr>
              <w:rPr>
                <w:b/>
                <w:bCs/>
                <w:lang w:val="en-US"/>
              </w:rPr>
            </w:pPr>
            <w:r w:rsidRPr="00F67C75">
              <w:rPr>
                <w:b/>
                <w:bCs/>
                <w:lang w:val="en-US"/>
              </w:rPr>
              <w:t>Issues to consider for judging overall risk of bias</w:t>
            </w:r>
          </w:p>
        </w:tc>
      </w:tr>
      <w:tr w:rsidR="00F67C75" w:rsidRPr="00F67C75" w14:paraId="413973D3"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3037EC1F" w14:textId="77777777" w:rsidR="00F67C75" w:rsidRPr="00F67C75" w:rsidRDefault="00F67C75" w:rsidP="00F67C75">
            <w:pPr>
              <w:rPr>
                <w:lang w:val="en-US"/>
              </w:rPr>
            </w:pPr>
            <w:r w:rsidRPr="00F67C75">
              <w:rPr>
                <w:lang w:val="en-US"/>
              </w:rPr>
              <w:t>Proportion of baseline sample available for analysis</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6C6A3328" w14:textId="77777777" w:rsidR="00F67C75" w:rsidRPr="00F67C75" w:rsidRDefault="00F67C75" w:rsidP="00F67C75">
            <w:pPr>
              <w:rPr>
                <w:lang w:val="en-US"/>
              </w:rPr>
            </w:pPr>
            <w:r w:rsidRPr="00F67C75">
              <w:rPr>
                <w:lang w:val="en-US"/>
              </w:rPr>
              <w:t>Response rate (i.e. proportion of people in a cohort on whom we have complete follow‐up seizure recurrence/mortality data) is adequate.</w:t>
            </w:r>
          </w:p>
        </w:tc>
      </w:tr>
      <w:tr w:rsidR="00F67C75" w:rsidRPr="00F67C75" w14:paraId="027CD7D1"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541D4DE0" w14:textId="77777777" w:rsidR="00F67C75" w:rsidRPr="00F67C75" w:rsidRDefault="00F67C75" w:rsidP="00F67C75">
            <w:pPr>
              <w:rPr>
                <w:lang w:val="en-US"/>
              </w:rPr>
            </w:pPr>
            <w:r w:rsidRPr="00F67C75">
              <w:rPr>
                <w:lang w:val="en-US"/>
              </w:rPr>
              <w:t>Attempts to collect information on participants who dropped out</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03417D9E" w14:textId="77777777" w:rsidR="00F67C75" w:rsidRPr="00F67C75" w:rsidRDefault="00F67C75" w:rsidP="00F67C75">
            <w:pPr>
              <w:rPr>
                <w:lang w:val="en-US"/>
              </w:rPr>
            </w:pPr>
            <w:r w:rsidRPr="00F67C75">
              <w:rPr>
                <w:lang w:val="en-US"/>
              </w:rPr>
              <w:t>Attempts to collect information on participants who were lost to follow‐up are adequately described.</w:t>
            </w:r>
          </w:p>
        </w:tc>
      </w:tr>
      <w:tr w:rsidR="00F67C75" w:rsidRPr="00F67C75" w14:paraId="2CD8BD00"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0A701000" w14:textId="77777777" w:rsidR="00F67C75" w:rsidRPr="00F67C75" w:rsidRDefault="00F67C75" w:rsidP="00F67C75">
            <w:pPr>
              <w:rPr>
                <w:lang w:val="en-US"/>
              </w:rPr>
            </w:pPr>
            <w:r w:rsidRPr="00F67C75">
              <w:rPr>
                <w:lang w:val="en-US"/>
              </w:rPr>
              <w:t>Reasons and potential impact of subjects lost to follow‐up</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0822746A" w14:textId="77777777" w:rsidR="00F67C75" w:rsidRPr="00F67C75" w:rsidRDefault="00F67C75" w:rsidP="00F67C75">
            <w:pPr>
              <w:rPr>
                <w:lang w:val="en-US"/>
              </w:rPr>
            </w:pPr>
            <w:r w:rsidRPr="00F67C75">
              <w:rPr>
                <w:lang w:val="en-US"/>
              </w:rPr>
              <w:t>Potential individual reasons for loss to follow‐up are provided.</w:t>
            </w:r>
          </w:p>
        </w:tc>
      </w:tr>
      <w:tr w:rsidR="00F67C75" w:rsidRPr="00F67C75" w14:paraId="4728A1B7"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11D77D04" w14:textId="77777777" w:rsidR="00F67C75" w:rsidRPr="00F67C75" w:rsidRDefault="00F67C75" w:rsidP="00F67C75">
            <w:pPr>
              <w:rPr>
                <w:lang w:val="en-US"/>
              </w:rPr>
            </w:pPr>
            <w:r w:rsidRPr="00F67C75">
              <w:rPr>
                <w:lang w:val="en-US"/>
              </w:rPr>
              <w:t>Outcome and prognostic factor information on those lost to follow‐up</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12E3C5D1" w14:textId="77777777" w:rsidR="00F67C75" w:rsidRPr="00F67C75" w:rsidRDefault="00F67C75" w:rsidP="00F67C75">
            <w:pPr>
              <w:rPr>
                <w:lang w:val="en-US"/>
              </w:rPr>
            </w:pPr>
            <w:r w:rsidRPr="00F67C75">
              <w:rPr>
                <w:lang w:val="en-US"/>
              </w:rPr>
              <w:t>Baseline demographic characteristics and potential risk factors for seizure recurrence are adequately described in those lost to follow‐up.</w:t>
            </w:r>
          </w:p>
        </w:tc>
      </w:tr>
      <w:tr w:rsidR="00F67C75" w:rsidRPr="00F67C75" w14:paraId="2C60F23B" w14:textId="77777777" w:rsidTr="00F67C75">
        <w:tc>
          <w:tcPr>
            <w:tcW w:w="0" w:type="auto"/>
            <w:gridSpan w:val="2"/>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7CD0CB8F" w14:textId="77777777" w:rsidR="00F67C75" w:rsidRPr="00F67C75" w:rsidRDefault="00F67C75" w:rsidP="00F67C75">
            <w:pPr>
              <w:rPr>
                <w:lang w:val="en-US"/>
              </w:rPr>
            </w:pPr>
            <w:r w:rsidRPr="00F67C75">
              <w:rPr>
                <w:b/>
                <w:bCs/>
                <w:lang w:val="en-US"/>
              </w:rPr>
              <w:t>Summary study attrition:</w:t>
            </w:r>
          </w:p>
          <w:p w14:paraId="711E243B" w14:textId="77777777" w:rsidR="00F67C75" w:rsidRPr="00F67C75" w:rsidRDefault="00F67C75" w:rsidP="00F67C75">
            <w:pPr>
              <w:rPr>
                <w:lang w:val="en-US"/>
              </w:rPr>
            </w:pPr>
            <w:r w:rsidRPr="00F67C75">
              <w:rPr>
                <w:lang w:val="en-US"/>
              </w:rPr>
              <w:t xml:space="preserve">Loss to follow‐up (from baseline sample to study population </w:t>
            </w:r>
            <w:proofErr w:type="spellStart"/>
            <w:r w:rsidRPr="00F67C75">
              <w:rPr>
                <w:lang w:val="en-US"/>
              </w:rPr>
              <w:t>analysed</w:t>
            </w:r>
            <w:proofErr w:type="spellEnd"/>
            <w:r w:rsidRPr="00F67C75">
              <w:rPr>
                <w:lang w:val="en-US"/>
              </w:rPr>
              <w:t>) is not associated with key characteristics (i.e. the study data adequately represent the sample) sufficient to limit potential bias to the observed relationship between PF and outcome (low, moderate, high risk of bias).</w:t>
            </w:r>
          </w:p>
        </w:tc>
      </w:tr>
    </w:tbl>
    <w:p w14:paraId="3E8265D3" w14:textId="271833AC" w:rsidR="00F67C75" w:rsidRDefault="00F67C75">
      <w:pPr>
        <w:rPr>
          <w:lang w:val="en-US"/>
        </w:rPr>
      </w:pPr>
    </w:p>
    <w:p w14:paraId="6683212D" w14:textId="4F9CB76E" w:rsidR="00F67C75" w:rsidRDefault="00F67C75">
      <w:pPr>
        <w:rPr>
          <w:lang w:val="en-US"/>
        </w:rPr>
      </w:pPr>
    </w:p>
    <w:p w14:paraId="4A35C902" w14:textId="0C6D2799" w:rsidR="00F67C75" w:rsidRDefault="00F67C75">
      <w:pPr>
        <w:rPr>
          <w:lang w:val="en-US"/>
        </w:rPr>
      </w:pPr>
    </w:p>
    <w:p w14:paraId="5294D233" w14:textId="3250E284" w:rsidR="00F67C75" w:rsidRDefault="00F67C75">
      <w:pPr>
        <w:rPr>
          <w:lang w:val="en-US"/>
        </w:rPr>
      </w:pPr>
    </w:p>
    <w:p w14:paraId="640EC2AF" w14:textId="254FA086" w:rsidR="00F67C75" w:rsidRDefault="00F67C75">
      <w:pPr>
        <w:rPr>
          <w:lang w:val="en-US"/>
        </w:rPr>
      </w:pPr>
    </w:p>
    <w:p w14:paraId="7ACDEC33" w14:textId="48EB5138" w:rsidR="00F67C75" w:rsidRDefault="00F67C75">
      <w:pPr>
        <w:rPr>
          <w:lang w:val="en-US"/>
        </w:rPr>
      </w:pPr>
    </w:p>
    <w:p w14:paraId="0697B261" w14:textId="04A2EF56" w:rsidR="00F67C75" w:rsidRDefault="00F67C75">
      <w:pPr>
        <w:rPr>
          <w:lang w:val="en-US"/>
        </w:rPr>
      </w:pPr>
    </w:p>
    <w:p w14:paraId="79C45D47" w14:textId="7D3B5EFB" w:rsidR="00F67C75" w:rsidRDefault="00F67C75">
      <w:pPr>
        <w:rPr>
          <w:lang w:val="en-US"/>
        </w:rPr>
      </w:pPr>
    </w:p>
    <w:p w14:paraId="69B7BC7E" w14:textId="48C70A9C" w:rsidR="00F67C75" w:rsidRDefault="00F67C75">
      <w:pPr>
        <w:rPr>
          <w:lang w:val="en-US"/>
        </w:rPr>
      </w:pPr>
    </w:p>
    <w:p w14:paraId="16EEDE89" w14:textId="64DBFBC5" w:rsidR="00F67C75" w:rsidRDefault="00F67C75">
      <w:pPr>
        <w:rPr>
          <w:lang w:val="en-US"/>
        </w:rPr>
      </w:pPr>
    </w:p>
    <w:p w14:paraId="665691C6" w14:textId="222357A3" w:rsidR="00F67C75" w:rsidRDefault="00F67C75">
      <w:pPr>
        <w:rPr>
          <w:lang w:val="en-US"/>
        </w:rPr>
      </w:pPr>
    </w:p>
    <w:p w14:paraId="40E5C19C" w14:textId="49415CC1" w:rsidR="00F67C75" w:rsidRDefault="00F67C75">
      <w:pPr>
        <w:rPr>
          <w:lang w:val="en-US"/>
        </w:rPr>
      </w:pPr>
    </w:p>
    <w:p w14:paraId="223B1625" w14:textId="77777777" w:rsidR="00F67C75" w:rsidRPr="00F67C75" w:rsidRDefault="00F67C75" w:rsidP="00F67C75">
      <w:pPr>
        <w:rPr>
          <w:b/>
          <w:bCs/>
          <w:lang w:val="en-US"/>
        </w:rPr>
      </w:pPr>
      <w:r w:rsidRPr="00F67C75">
        <w:rPr>
          <w:b/>
          <w:bCs/>
          <w:lang w:val="en-US"/>
        </w:rPr>
        <w:lastRenderedPageBreak/>
        <w:t>Bias: prognostic (PF measurement)</w:t>
      </w:r>
    </w:p>
    <w:p w14:paraId="4FCD5B30" w14:textId="77777777" w:rsidR="00F67C75" w:rsidRPr="00F67C75" w:rsidRDefault="00F67C75" w:rsidP="00F67C75">
      <w:pPr>
        <w:rPr>
          <w:b/>
          <w:bCs/>
          <w:lang w:val="en-US"/>
        </w:rPr>
      </w:pPr>
      <w:r w:rsidRPr="00F67C75">
        <w:rPr>
          <w:b/>
          <w:bCs/>
          <w:lang w:val="en-US"/>
        </w:rPr>
        <w:t>Goal: To assess the risk of measurement bias of prognostic factors related to seizure recurrence</w:t>
      </w:r>
    </w:p>
    <w:tbl>
      <w:tblPr>
        <w:tblW w:w="0" w:type="dxa"/>
        <w:tblBorders>
          <w:top w:val="single" w:sz="6" w:space="0" w:color="696969"/>
        </w:tblBorders>
        <w:tblCellMar>
          <w:top w:w="15" w:type="dxa"/>
          <w:left w:w="15" w:type="dxa"/>
          <w:bottom w:w="15" w:type="dxa"/>
          <w:right w:w="15" w:type="dxa"/>
        </w:tblCellMar>
        <w:tblLook w:val="04A0" w:firstRow="1" w:lastRow="0" w:firstColumn="1" w:lastColumn="0" w:noHBand="0" w:noVBand="1"/>
      </w:tblPr>
      <w:tblGrid>
        <w:gridCol w:w="1962"/>
        <w:gridCol w:w="7102"/>
      </w:tblGrid>
      <w:tr w:rsidR="00F67C75" w:rsidRPr="00F67C75" w14:paraId="1566FC37" w14:textId="77777777" w:rsidTr="00F67C75">
        <w:tc>
          <w:tcPr>
            <w:tcW w:w="0" w:type="auto"/>
            <w:gridSpan w:val="2"/>
            <w:tcBorders>
              <w:top w:val="nil"/>
              <w:left w:val="nil"/>
              <w:bottom w:val="single" w:sz="6" w:space="0" w:color="696969"/>
              <w:right w:val="single" w:sz="6" w:space="0" w:color="auto"/>
            </w:tcBorders>
            <w:shd w:val="clear" w:color="auto" w:fill="auto"/>
            <w:tcMar>
              <w:top w:w="120" w:type="dxa"/>
              <w:left w:w="120" w:type="dxa"/>
              <w:bottom w:w="120" w:type="dxa"/>
              <w:right w:w="120" w:type="dxa"/>
            </w:tcMar>
            <w:hideMark/>
          </w:tcPr>
          <w:p w14:paraId="143020CC" w14:textId="77777777" w:rsidR="00F67C75" w:rsidRPr="00F67C75" w:rsidRDefault="00F67C75" w:rsidP="00F67C75">
            <w:pPr>
              <w:rPr>
                <w:b/>
                <w:bCs/>
                <w:lang w:val="en-US"/>
              </w:rPr>
            </w:pPr>
            <w:r w:rsidRPr="00F67C75">
              <w:rPr>
                <w:b/>
                <w:bCs/>
                <w:lang w:val="en-US"/>
              </w:rPr>
              <w:t>Issues to consider for judging overall risk of bias</w:t>
            </w:r>
          </w:p>
        </w:tc>
      </w:tr>
      <w:tr w:rsidR="00F67C75" w:rsidRPr="00F67C75" w14:paraId="4B3584C4"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2AE6961C" w14:textId="77777777" w:rsidR="00F67C75" w:rsidRPr="00F67C75" w:rsidRDefault="00F67C75" w:rsidP="00F67C75">
            <w:r w:rsidRPr="00F67C75">
              <w:t xml:space="preserve">Definition of </w:t>
            </w:r>
            <w:proofErr w:type="spellStart"/>
            <w:r w:rsidRPr="00F67C75">
              <w:t>the</w:t>
            </w:r>
            <w:proofErr w:type="spellEnd"/>
            <w:r w:rsidRPr="00F67C75">
              <w:t xml:space="preserve"> PF</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6B1978A0" w14:textId="77777777" w:rsidR="00F67C75" w:rsidRPr="00F67C75" w:rsidRDefault="00F67C75" w:rsidP="00F67C75">
            <w:pPr>
              <w:rPr>
                <w:lang w:val="en-US"/>
              </w:rPr>
            </w:pPr>
            <w:r w:rsidRPr="00F67C75">
              <w:rPr>
                <w:lang w:val="en-US"/>
              </w:rPr>
              <w:t>Potential PFs, such as specific electroencephalogram (EEG) findings and specific neuroimaging findings, are clearly and consistently defined.</w:t>
            </w:r>
          </w:p>
        </w:tc>
      </w:tr>
      <w:tr w:rsidR="00F67C75" w:rsidRPr="00F67C75" w14:paraId="3B5ED652"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5F3329BE" w14:textId="77777777" w:rsidR="00F67C75" w:rsidRPr="00F67C75" w:rsidRDefault="00F67C75" w:rsidP="00F67C75">
            <w:pPr>
              <w:rPr>
                <w:lang w:val="en-US"/>
              </w:rPr>
            </w:pPr>
            <w:r w:rsidRPr="00F67C75">
              <w:rPr>
                <w:lang w:val="en-US"/>
              </w:rPr>
              <w:t>Valid and reliable measurement of PF</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48D5565C" w14:textId="77777777" w:rsidR="00F67C75" w:rsidRPr="00F67C75" w:rsidRDefault="00F67C75" w:rsidP="00F67C75">
            <w:pPr>
              <w:rPr>
                <w:lang w:val="en-US"/>
              </w:rPr>
            </w:pPr>
            <w:r w:rsidRPr="00F67C75">
              <w:rPr>
                <w:lang w:val="en-US"/>
              </w:rPr>
              <w:t>Method of documentation of seizure recurrence is consistent for all individuals, i.e. use of seizure diaries, confirmed eyewitness accounts with accurate dates, and accurate seizure classification to avoid misclassification bias. Clear details of electroencephalogram (EEG) or neuroimaging methods provided, and classification of seizure type made using appropriate methods (e.g. using International League Against Epilepsy (ILAE) classifications (e.g. Berg 2010 or earlier versions)).</w:t>
            </w:r>
          </w:p>
        </w:tc>
      </w:tr>
      <w:tr w:rsidR="00F67C75" w:rsidRPr="00F67C75" w14:paraId="0BB73C4F"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4050EBE5" w14:textId="77777777" w:rsidR="00F67C75" w:rsidRPr="00F67C75" w:rsidRDefault="00F67C75" w:rsidP="00F67C75">
            <w:pPr>
              <w:rPr>
                <w:lang w:val="en-US"/>
              </w:rPr>
            </w:pPr>
            <w:r w:rsidRPr="00F67C75">
              <w:rPr>
                <w:lang w:val="en-US"/>
              </w:rPr>
              <w:t>Method and setting of PF measurement</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7B767D70" w14:textId="77777777" w:rsidR="00F67C75" w:rsidRPr="00F67C75" w:rsidRDefault="00F67C75" w:rsidP="00F67C75">
            <w:pPr>
              <w:rPr>
                <w:lang w:val="en-US"/>
              </w:rPr>
            </w:pPr>
            <w:r w:rsidRPr="00F67C75">
              <w:rPr>
                <w:lang w:val="en-US"/>
              </w:rPr>
              <w:t>The method of establishing seizure recurrence (e.g. seizure diary, eyewitness account) is consistent for all participants.</w:t>
            </w:r>
          </w:p>
        </w:tc>
      </w:tr>
      <w:tr w:rsidR="00F67C75" w:rsidRPr="00F67C75" w14:paraId="25A3B505"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0F9157AD" w14:textId="77777777" w:rsidR="00F67C75" w:rsidRPr="00F67C75" w:rsidRDefault="00F67C75" w:rsidP="00F67C75">
            <w:pPr>
              <w:rPr>
                <w:lang w:val="en-US"/>
              </w:rPr>
            </w:pPr>
            <w:r w:rsidRPr="00F67C75">
              <w:rPr>
                <w:lang w:val="en-US"/>
              </w:rPr>
              <w:t>Proportion of data on PF available for analysis</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55DD4B6F" w14:textId="77777777" w:rsidR="00F67C75" w:rsidRPr="00F67C75" w:rsidRDefault="00F67C75" w:rsidP="00F67C75">
            <w:pPr>
              <w:rPr>
                <w:lang w:val="en-US"/>
              </w:rPr>
            </w:pPr>
            <w:r w:rsidRPr="00F67C75">
              <w:rPr>
                <w:lang w:val="en-US"/>
              </w:rPr>
              <w:t>Adequate proportion of the cohort has complete data on potential PF (adequate to be judged, based on context of the study).</w:t>
            </w:r>
          </w:p>
        </w:tc>
      </w:tr>
      <w:tr w:rsidR="00F67C75" w:rsidRPr="00F67C75" w14:paraId="29C502CC"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1464568A" w14:textId="77777777" w:rsidR="00F67C75" w:rsidRPr="00F67C75" w:rsidRDefault="00F67C75" w:rsidP="00F67C75">
            <w:pPr>
              <w:rPr>
                <w:lang w:val="en-US"/>
              </w:rPr>
            </w:pPr>
            <w:r w:rsidRPr="00F67C75">
              <w:rPr>
                <w:lang w:val="en-US"/>
              </w:rPr>
              <w:t>Method used for missing data</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685897D0" w14:textId="77777777" w:rsidR="00F67C75" w:rsidRPr="00F67C75" w:rsidRDefault="00F67C75" w:rsidP="00F67C75">
            <w:pPr>
              <w:rPr>
                <w:lang w:val="en-US"/>
              </w:rPr>
            </w:pPr>
            <w:r w:rsidRPr="00F67C75">
              <w:rPr>
                <w:lang w:val="en-US"/>
              </w:rPr>
              <w:t>If used, appropriate methods of imputation are used for missing individual PFs.</w:t>
            </w:r>
          </w:p>
        </w:tc>
      </w:tr>
      <w:tr w:rsidR="00F67C75" w:rsidRPr="00F67C75" w14:paraId="290EE2AF" w14:textId="77777777" w:rsidTr="00F67C75">
        <w:tc>
          <w:tcPr>
            <w:tcW w:w="0" w:type="auto"/>
            <w:gridSpan w:val="2"/>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060905BC" w14:textId="77777777" w:rsidR="00F67C75" w:rsidRPr="00F67C75" w:rsidRDefault="00F67C75" w:rsidP="00F67C75">
            <w:pPr>
              <w:rPr>
                <w:lang w:val="en-US"/>
              </w:rPr>
            </w:pPr>
            <w:r w:rsidRPr="00F67C75">
              <w:rPr>
                <w:b/>
                <w:bCs/>
                <w:lang w:val="en-US"/>
              </w:rPr>
              <w:t>Summary prognostic factor measurement:</w:t>
            </w:r>
          </w:p>
          <w:p w14:paraId="232DA490" w14:textId="77777777" w:rsidR="00F67C75" w:rsidRPr="00F67C75" w:rsidRDefault="00F67C75" w:rsidP="00F67C75">
            <w:pPr>
              <w:rPr>
                <w:lang w:val="en-US"/>
              </w:rPr>
            </w:pPr>
            <w:r w:rsidRPr="00F67C75">
              <w:rPr>
                <w:lang w:val="en-US"/>
              </w:rPr>
              <w:t>PFs are adequately measured in study participants to sufficiently limit potential bias (low, moderate, high risk of bias).</w:t>
            </w:r>
          </w:p>
        </w:tc>
      </w:tr>
    </w:tbl>
    <w:p w14:paraId="7CA9376D" w14:textId="15516D43" w:rsidR="00F67C75" w:rsidRDefault="00F67C75">
      <w:pPr>
        <w:rPr>
          <w:lang w:val="en-US"/>
        </w:rPr>
      </w:pPr>
    </w:p>
    <w:p w14:paraId="6FD9649A" w14:textId="77777777" w:rsidR="00F67C75" w:rsidRDefault="00F67C75">
      <w:pPr>
        <w:rPr>
          <w:lang w:val="en-US"/>
        </w:rPr>
      </w:pPr>
      <w:r>
        <w:rPr>
          <w:lang w:val="en-US"/>
        </w:rPr>
        <w:br w:type="page"/>
      </w:r>
    </w:p>
    <w:p w14:paraId="4914A3D3" w14:textId="77777777" w:rsidR="00F67C75" w:rsidRPr="00F67C75" w:rsidRDefault="00F67C75" w:rsidP="00F67C75">
      <w:pPr>
        <w:rPr>
          <w:b/>
          <w:bCs/>
          <w:lang w:val="en-US"/>
        </w:rPr>
      </w:pPr>
      <w:r w:rsidRPr="00F67C75">
        <w:rPr>
          <w:b/>
          <w:bCs/>
          <w:lang w:val="en-US"/>
        </w:rPr>
        <w:lastRenderedPageBreak/>
        <w:t>Bias: outcome measurement</w:t>
      </w:r>
    </w:p>
    <w:p w14:paraId="37DDA501" w14:textId="77777777" w:rsidR="00F67C75" w:rsidRPr="00F67C75" w:rsidRDefault="00F67C75" w:rsidP="00F67C75">
      <w:pPr>
        <w:rPr>
          <w:b/>
          <w:bCs/>
          <w:lang w:val="en-US"/>
        </w:rPr>
      </w:pPr>
      <w:r w:rsidRPr="00F67C75">
        <w:rPr>
          <w:b/>
          <w:bCs/>
          <w:lang w:val="en-US"/>
        </w:rPr>
        <w:t>Goal: To assess the risk of bias related to seizure outcome (differential measurement of seizure outcome related to the baseline level of PF</w:t>
      </w:r>
    </w:p>
    <w:tbl>
      <w:tblPr>
        <w:tblW w:w="0" w:type="dxa"/>
        <w:tblBorders>
          <w:top w:val="single" w:sz="6" w:space="0" w:color="696969"/>
        </w:tblBorders>
        <w:tblCellMar>
          <w:top w:w="15" w:type="dxa"/>
          <w:left w:w="15" w:type="dxa"/>
          <w:bottom w:w="15" w:type="dxa"/>
          <w:right w:w="15" w:type="dxa"/>
        </w:tblCellMar>
        <w:tblLook w:val="04A0" w:firstRow="1" w:lastRow="0" w:firstColumn="1" w:lastColumn="0" w:noHBand="0" w:noVBand="1"/>
      </w:tblPr>
      <w:tblGrid>
        <w:gridCol w:w="2011"/>
        <w:gridCol w:w="7053"/>
      </w:tblGrid>
      <w:tr w:rsidR="00F67C75" w:rsidRPr="00F67C75" w14:paraId="73F3741C" w14:textId="77777777" w:rsidTr="00F67C75">
        <w:tc>
          <w:tcPr>
            <w:tcW w:w="0" w:type="auto"/>
            <w:gridSpan w:val="2"/>
            <w:tcBorders>
              <w:top w:val="nil"/>
              <w:left w:val="nil"/>
              <w:bottom w:val="single" w:sz="6" w:space="0" w:color="696969"/>
              <w:right w:val="single" w:sz="6" w:space="0" w:color="auto"/>
            </w:tcBorders>
            <w:shd w:val="clear" w:color="auto" w:fill="auto"/>
            <w:tcMar>
              <w:top w:w="120" w:type="dxa"/>
              <w:left w:w="120" w:type="dxa"/>
              <w:bottom w:w="120" w:type="dxa"/>
              <w:right w:w="120" w:type="dxa"/>
            </w:tcMar>
            <w:hideMark/>
          </w:tcPr>
          <w:p w14:paraId="4D0FD88D" w14:textId="77777777" w:rsidR="00F67C75" w:rsidRPr="00F67C75" w:rsidRDefault="00F67C75" w:rsidP="00F67C75">
            <w:pPr>
              <w:rPr>
                <w:b/>
                <w:bCs/>
                <w:lang w:val="en-US"/>
              </w:rPr>
            </w:pPr>
            <w:r w:rsidRPr="00F67C75">
              <w:rPr>
                <w:b/>
                <w:bCs/>
                <w:lang w:val="en-US"/>
              </w:rPr>
              <w:t>Issues to consider for judging overall risk of bias</w:t>
            </w:r>
          </w:p>
        </w:tc>
      </w:tr>
      <w:tr w:rsidR="00F67C75" w:rsidRPr="00F67C75" w14:paraId="102F5DC1"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5DBA3CAC" w14:textId="77777777" w:rsidR="00F67C75" w:rsidRPr="00F67C75" w:rsidRDefault="00F67C75" w:rsidP="00F67C75">
            <w:r w:rsidRPr="00F67C75">
              <w:t xml:space="preserve">Definition of </w:t>
            </w:r>
            <w:proofErr w:type="spellStart"/>
            <w:r w:rsidRPr="00F67C75">
              <w:t>the</w:t>
            </w:r>
            <w:proofErr w:type="spellEnd"/>
            <w:r w:rsidRPr="00F67C75">
              <w:t xml:space="preserve"> </w:t>
            </w:r>
            <w:proofErr w:type="spellStart"/>
            <w:r w:rsidRPr="00F67C75">
              <w:t>outcome</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4CB67EE8" w14:textId="77777777" w:rsidR="00F67C75" w:rsidRPr="00F67C75" w:rsidRDefault="00F67C75" w:rsidP="00F67C75">
            <w:pPr>
              <w:rPr>
                <w:lang w:val="en-US"/>
              </w:rPr>
            </w:pPr>
            <w:r w:rsidRPr="00F67C75">
              <w:rPr>
                <w:lang w:val="en-US"/>
              </w:rPr>
              <w:t>A clear definition of what constitutes a seizure recurrence is provided, including clear documentation of the time period between the index seizure and seizure recurrence, as well as clear documentation of seizure semiology.</w:t>
            </w:r>
          </w:p>
        </w:tc>
      </w:tr>
      <w:tr w:rsidR="00F67C75" w:rsidRPr="00F67C75" w14:paraId="0E88C6F9"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042C75EE" w14:textId="77777777" w:rsidR="00F67C75" w:rsidRPr="00F67C75" w:rsidRDefault="00F67C75" w:rsidP="00F67C75">
            <w:pPr>
              <w:rPr>
                <w:lang w:val="en-US"/>
              </w:rPr>
            </w:pPr>
            <w:r w:rsidRPr="00F67C75">
              <w:rPr>
                <w:lang w:val="en-US"/>
              </w:rPr>
              <w:t>Valid and reliable measurement of outcome</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38B4E382" w14:textId="77777777" w:rsidR="00F67C75" w:rsidRPr="00F67C75" w:rsidRDefault="00F67C75" w:rsidP="00F67C75">
            <w:pPr>
              <w:rPr>
                <w:lang w:val="en-US"/>
              </w:rPr>
            </w:pPr>
            <w:r w:rsidRPr="00F67C75">
              <w:rPr>
                <w:lang w:val="en-US"/>
              </w:rPr>
              <w:t>The method of establishing seizure recurrence (outcome measurement) used is adequately valid and reliable, to limit misclassification bias. In particular, that sufficient clinical details are available regarding all potential seizures after the index seizure, to avoid misclassification of other differentials (syncope, non‐epileptic attacks, provoked (acute symptomatic) seizures).</w:t>
            </w:r>
          </w:p>
        </w:tc>
      </w:tr>
      <w:tr w:rsidR="00F67C75" w:rsidRPr="00F67C75" w14:paraId="1C043226"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304602A5" w14:textId="77777777" w:rsidR="00F67C75" w:rsidRPr="00F67C75" w:rsidRDefault="00F67C75" w:rsidP="00F67C75">
            <w:pPr>
              <w:rPr>
                <w:lang w:val="en-US"/>
              </w:rPr>
            </w:pPr>
            <w:r w:rsidRPr="00F67C75">
              <w:rPr>
                <w:lang w:val="en-US"/>
              </w:rPr>
              <w:t>Method and setting of outcome measurement</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08E032A9" w14:textId="77777777" w:rsidR="00F67C75" w:rsidRPr="00F67C75" w:rsidRDefault="00F67C75" w:rsidP="00F67C75">
            <w:pPr>
              <w:rPr>
                <w:lang w:val="en-US"/>
              </w:rPr>
            </w:pPr>
            <w:r w:rsidRPr="00F67C75">
              <w:rPr>
                <w:lang w:val="en-US"/>
              </w:rPr>
              <w:t>The method and setting of seizure recurrence is the same for all study participants.</w:t>
            </w:r>
          </w:p>
        </w:tc>
      </w:tr>
      <w:tr w:rsidR="00F67C75" w:rsidRPr="00F67C75" w14:paraId="1141971C" w14:textId="77777777" w:rsidTr="00F67C75">
        <w:tc>
          <w:tcPr>
            <w:tcW w:w="0" w:type="auto"/>
            <w:gridSpan w:val="2"/>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68048A7C" w14:textId="77777777" w:rsidR="00F67C75" w:rsidRPr="00F67C75" w:rsidRDefault="00F67C75" w:rsidP="00F67C75">
            <w:pPr>
              <w:rPr>
                <w:lang w:val="en-US"/>
              </w:rPr>
            </w:pPr>
            <w:r w:rsidRPr="00F67C75">
              <w:rPr>
                <w:b/>
                <w:bCs/>
                <w:lang w:val="en-US"/>
              </w:rPr>
              <w:t>Summary outcome measurement:</w:t>
            </w:r>
            <w:r w:rsidRPr="00F67C75">
              <w:rPr>
                <w:lang w:val="en-US"/>
              </w:rPr>
              <w:t> outcome is adequately measured in study participants to sufficiently limit potential bias (low, moderate, high risk of bias).</w:t>
            </w:r>
          </w:p>
        </w:tc>
      </w:tr>
    </w:tbl>
    <w:p w14:paraId="37F035EC" w14:textId="3C2C83D6" w:rsidR="00F67C75" w:rsidRDefault="00F67C75">
      <w:pPr>
        <w:rPr>
          <w:lang w:val="en-US"/>
        </w:rPr>
      </w:pPr>
    </w:p>
    <w:p w14:paraId="12CA8DAC" w14:textId="77777777" w:rsidR="00F67C75" w:rsidRDefault="00F67C75">
      <w:pPr>
        <w:rPr>
          <w:lang w:val="en-US"/>
        </w:rPr>
      </w:pPr>
      <w:r>
        <w:rPr>
          <w:lang w:val="en-US"/>
        </w:rPr>
        <w:br w:type="page"/>
      </w:r>
    </w:p>
    <w:p w14:paraId="13DAD699" w14:textId="77777777" w:rsidR="00F67C75" w:rsidRPr="00F67C75" w:rsidRDefault="00F67C75" w:rsidP="00F67C75">
      <w:pPr>
        <w:rPr>
          <w:b/>
          <w:bCs/>
          <w:lang w:val="en-US"/>
        </w:rPr>
      </w:pPr>
      <w:r w:rsidRPr="00F67C75">
        <w:rPr>
          <w:b/>
          <w:bCs/>
          <w:lang w:val="en-US"/>
        </w:rPr>
        <w:lastRenderedPageBreak/>
        <w:t>Bias: study confounding</w:t>
      </w:r>
    </w:p>
    <w:p w14:paraId="4D67625B" w14:textId="77777777" w:rsidR="00F67C75" w:rsidRPr="00F67C75" w:rsidRDefault="00F67C75" w:rsidP="00F67C75">
      <w:pPr>
        <w:rPr>
          <w:b/>
          <w:bCs/>
          <w:lang w:val="en-US"/>
        </w:rPr>
      </w:pPr>
      <w:r w:rsidRPr="00F67C75">
        <w:rPr>
          <w:b/>
          <w:bCs/>
          <w:lang w:val="en-US"/>
        </w:rPr>
        <w:t>Goal: To judge the risk of bias due to confounding – i.e. the effect of a PF is distorted by another factor related to the PF and the risk of seizure recurrence or mortality</w:t>
      </w:r>
    </w:p>
    <w:tbl>
      <w:tblPr>
        <w:tblW w:w="0" w:type="dxa"/>
        <w:tblBorders>
          <w:top w:val="single" w:sz="6" w:space="0" w:color="696969"/>
        </w:tblBorders>
        <w:tblCellMar>
          <w:top w:w="15" w:type="dxa"/>
          <w:left w:w="15" w:type="dxa"/>
          <w:bottom w:w="15" w:type="dxa"/>
          <w:right w:w="15" w:type="dxa"/>
        </w:tblCellMar>
        <w:tblLook w:val="04A0" w:firstRow="1" w:lastRow="0" w:firstColumn="1" w:lastColumn="0" w:noHBand="0" w:noVBand="1"/>
      </w:tblPr>
      <w:tblGrid>
        <w:gridCol w:w="2193"/>
        <w:gridCol w:w="6871"/>
      </w:tblGrid>
      <w:tr w:rsidR="00F67C75" w:rsidRPr="00F67C75" w14:paraId="187775D8" w14:textId="77777777" w:rsidTr="00F67C75">
        <w:tc>
          <w:tcPr>
            <w:tcW w:w="0" w:type="auto"/>
            <w:gridSpan w:val="2"/>
            <w:tcBorders>
              <w:top w:val="nil"/>
              <w:left w:val="nil"/>
              <w:bottom w:val="single" w:sz="6" w:space="0" w:color="696969"/>
              <w:right w:val="single" w:sz="6" w:space="0" w:color="auto"/>
            </w:tcBorders>
            <w:shd w:val="clear" w:color="auto" w:fill="auto"/>
            <w:tcMar>
              <w:top w:w="120" w:type="dxa"/>
              <w:left w:w="120" w:type="dxa"/>
              <w:bottom w:w="120" w:type="dxa"/>
              <w:right w:w="120" w:type="dxa"/>
            </w:tcMar>
            <w:hideMark/>
          </w:tcPr>
          <w:p w14:paraId="12350E6F" w14:textId="77777777" w:rsidR="00F67C75" w:rsidRPr="00F67C75" w:rsidRDefault="00F67C75" w:rsidP="00F67C75">
            <w:pPr>
              <w:rPr>
                <w:b/>
                <w:bCs/>
                <w:lang w:val="en-US"/>
              </w:rPr>
            </w:pPr>
            <w:r w:rsidRPr="00F67C75">
              <w:rPr>
                <w:b/>
                <w:bCs/>
                <w:lang w:val="en-US"/>
              </w:rPr>
              <w:t>Issues to consider for judging overall risk of bias</w:t>
            </w:r>
          </w:p>
        </w:tc>
      </w:tr>
      <w:tr w:rsidR="00F67C75" w:rsidRPr="00F67C75" w14:paraId="4CA379C6"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39F097D1" w14:textId="77777777" w:rsidR="00F67C75" w:rsidRPr="00F67C75" w:rsidRDefault="00F67C75" w:rsidP="00F67C75">
            <w:r w:rsidRPr="00F67C75">
              <w:t xml:space="preserve">Important </w:t>
            </w:r>
            <w:proofErr w:type="spellStart"/>
            <w:r w:rsidRPr="00F67C75">
              <w:t>confounders</w:t>
            </w:r>
            <w:proofErr w:type="spellEnd"/>
            <w:r w:rsidRPr="00F67C75">
              <w:t xml:space="preserve"> </w:t>
            </w:r>
            <w:proofErr w:type="spellStart"/>
            <w:r w:rsidRPr="00F67C75">
              <w:t>measured</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5DFCF72E" w14:textId="77777777" w:rsidR="00F67C75" w:rsidRPr="00F67C75" w:rsidRDefault="00F67C75" w:rsidP="00F67C75">
            <w:pPr>
              <w:rPr>
                <w:lang w:val="en-US"/>
              </w:rPr>
            </w:pPr>
            <w:proofErr w:type="spellStart"/>
            <w:r w:rsidRPr="00F67C75">
              <w:rPr>
                <w:lang w:val="en-US"/>
              </w:rPr>
              <w:t>All important</w:t>
            </w:r>
            <w:proofErr w:type="spellEnd"/>
            <w:r w:rsidRPr="00F67C75">
              <w:rPr>
                <w:lang w:val="en-US"/>
              </w:rPr>
              <w:t xml:space="preserve"> potential confounders related to the risk of seizure recurrence, such as significant sleep deprivation, anti‐seizure medication (ASM) treatment initiated, and premature mortality following a single seizure (such as important medical comorbidities, like </w:t>
            </w:r>
            <w:proofErr w:type="spellStart"/>
            <w:r w:rsidRPr="00F67C75">
              <w:rPr>
                <w:lang w:val="en-US"/>
              </w:rPr>
              <w:t>ischaemic</w:t>
            </w:r>
            <w:proofErr w:type="spellEnd"/>
            <w:r w:rsidRPr="00F67C75">
              <w:rPr>
                <w:lang w:val="en-US"/>
              </w:rPr>
              <w:t xml:space="preserve"> heart disease and diabetes mellitus) are measured.</w:t>
            </w:r>
          </w:p>
        </w:tc>
      </w:tr>
      <w:tr w:rsidR="00F67C75" w:rsidRPr="00F67C75" w14:paraId="6170B3F6"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36838782" w14:textId="77777777" w:rsidR="00F67C75" w:rsidRPr="00F67C75" w:rsidRDefault="00F67C75" w:rsidP="00F67C75">
            <w:pPr>
              <w:rPr>
                <w:lang w:val="en-US"/>
              </w:rPr>
            </w:pPr>
            <w:r w:rsidRPr="00F67C75">
              <w:rPr>
                <w:lang w:val="en-US"/>
              </w:rPr>
              <w:t>Definition of the confounding factor</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6EF25340" w14:textId="77777777" w:rsidR="00F67C75" w:rsidRPr="00F67C75" w:rsidRDefault="00F67C75" w:rsidP="00F67C75">
            <w:pPr>
              <w:rPr>
                <w:lang w:val="en-US"/>
              </w:rPr>
            </w:pPr>
            <w:r w:rsidRPr="00F67C75">
              <w:rPr>
                <w:lang w:val="en-US"/>
              </w:rPr>
              <w:t>Clear definitions of important confounding factors measured are provided (e.g. what constitutes significant sleep deprivation in the context of seizure recurrence).</w:t>
            </w:r>
          </w:p>
        </w:tc>
      </w:tr>
      <w:tr w:rsidR="00F67C75" w:rsidRPr="00F67C75" w14:paraId="5C52215E"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3BB4CBFE" w14:textId="77777777" w:rsidR="00F67C75" w:rsidRPr="00F67C75" w:rsidRDefault="00F67C75" w:rsidP="00F67C75">
            <w:pPr>
              <w:rPr>
                <w:lang w:val="en-US"/>
              </w:rPr>
            </w:pPr>
            <w:r w:rsidRPr="00F67C75">
              <w:rPr>
                <w:lang w:val="en-US"/>
              </w:rPr>
              <w:t>Valid and reliable measurement of confounders</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2202B122" w14:textId="77777777" w:rsidR="00F67C75" w:rsidRPr="00F67C75" w:rsidRDefault="00F67C75" w:rsidP="00F67C75">
            <w:pPr>
              <w:rPr>
                <w:lang w:val="en-US"/>
              </w:rPr>
            </w:pPr>
            <w:r w:rsidRPr="00F67C75">
              <w:rPr>
                <w:lang w:val="en-US"/>
              </w:rPr>
              <w:t>Measurement of all important confounders is adequately valid and reliable (e.g. confirmed documentation in previous medical records, clear EEG parameters for classification for non‐diagnostic features).</w:t>
            </w:r>
          </w:p>
        </w:tc>
      </w:tr>
      <w:tr w:rsidR="00F67C75" w:rsidRPr="00F67C75" w14:paraId="25E50EDC"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55D6FFF1" w14:textId="77777777" w:rsidR="00F67C75" w:rsidRPr="00F67C75" w:rsidRDefault="00F67C75" w:rsidP="00F67C75">
            <w:pPr>
              <w:rPr>
                <w:lang w:val="en-US"/>
              </w:rPr>
            </w:pPr>
            <w:r w:rsidRPr="00F67C75">
              <w:rPr>
                <w:lang w:val="en-US"/>
              </w:rPr>
              <w:t>Method and setting of confounding measurements</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3425B6DD" w14:textId="77777777" w:rsidR="00F67C75" w:rsidRPr="00F67C75" w:rsidRDefault="00F67C75" w:rsidP="00F67C75">
            <w:pPr>
              <w:rPr>
                <w:lang w:val="en-US"/>
              </w:rPr>
            </w:pPr>
            <w:r w:rsidRPr="00F67C75">
              <w:rPr>
                <w:lang w:val="en-US"/>
              </w:rPr>
              <w:t>The method and setting of confounding measurements and recording are the same for all study participants.</w:t>
            </w:r>
          </w:p>
        </w:tc>
      </w:tr>
      <w:tr w:rsidR="00F67C75" w:rsidRPr="00F67C75" w14:paraId="0965468F"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5F77C7D7" w14:textId="77777777" w:rsidR="00F67C75" w:rsidRPr="00F67C75" w:rsidRDefault="00F67C75" w:rsidP="00F67C75">
            <w:pPr>
              <w:rPr>
                <w:lang w:val="en-US"/>
              </w:rPr>
            </w:pPr>
            <w:r w:rsidRPr="00F67C75">
              <w:rPr>
                <w:lang w:val="en-US"/>
              </w:rPr>
              <w:t>Method used for missing confounding factor data</w:t>
            </w:r>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113A6C9C" w14:textId="77777777" w:rsidR="00F67C75" w:rsidRPr="00F67C75" w:rsidRDefault="00F67C75" w:rsidP="00F67C75">
            <w:pPr>
              <w:rPr>
                <w:lang w:val="en-US"/>
              </w:rPr>
            </w:pPr>
            <w:r w:rsidRPr="00F67C75">
              <w:rPr>
                <w:lang w:val="en-US"/>
              </w:rPr>
              <w:t>Appropriate methods are used if imputation is used for missing confounding factor data.</w:t>
            </w:r>
          </w:p>
        </w:tc>
      </w:tr>
      <w:tr w:rsidR="00F67C75" w:rsidRPr="00F67C75" w14:paraId="5CEF6263"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0D50A409" w14:textId="77777777" w:rsidR="00F67C75" w:rsidRPr="00F67C75" w:rsidRDefault="00F67C75" w:rsidP="00F67C75">
            <w:proofErr w:type="spellStart"/>
            <w:r w:rsidRPr="00F67C75">
              <w:t>Appropriate</w:t>
            </w:r>
            <w:proofErr w:type="spellEnd"/>
            <w:r w:rsidRPr="00F67C75">
              <w:t xml:space="preserve"> accounting </w:t>
            </w:r>
            <w:proofErr w:type="spellStart"/>
            <w:r w:rsidRPr="00F67C75">
              <w:t>for</w:t>
            </w:r>
            <w:proofErr w:type="spellEnd"/>
            <w:r w:rsidRPr="00F67C75">
              <w:t xml:space="preserve"> </w:t>
            </w:r>
            <w:proofErr w:type="spellStart"/>
            <w:r w:rsidRPr="00F67C75">
              <w:t>confounding</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69B196B4" w14:textId="77777777" w:rsidR="00F67C75" w:rsidRPr="00F67C75" w:rsidRDefault="00F67C75" w:rsidP="00F67C75">
            <w:pPr>
              <w:rPr>
                <w:lang w:val="en-US"/>
              </w:rPr>
            </w:pPr>
            <w:r w:rsidRPr="00F67C75">
              <w:rPr>
                <w:lang w:val="en-US"/>
              </w:rPr>
              <w:t>Important potential confounders are accounted for in study design (i.e. matching for key variables – age, sex, seizure semiology).</w:t>
            </w:r>
          </w:p>
        </w:tc>
      </w:tr>
      <w:tr w:rsidR="00F67C75" w:rsidRPr="00F67C75" w14:paraId="63B59C28" w14:textId="77777777" w:rsidTr="00F67C75">
        <w:tc>
          <w:tcPr>
            <w:tcW w:w="0" w:type="auto"/>
            <w:gridSpan w:val="2"/>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669E587D" w14:textId="77777777" w:rsidR="00F67C75" w:rsidRPr="00F67C75" w:rsidRDefault="00F67C75" w:rsidP="00F67C75">
            <w:pPr>
              <w:rPr>
                <w:lang w:val="en-US"/>
              </w:rPr>
            </w:pPr>
            <w:r w:rsidRPr="00F67C75">
              <w:rPr>
                <w:b/>
                <w:bCs/>
                <w:lang w:val="en-US"/>
              </w:rPr>
              <w:t>Summary study confounding:</w:t>
            </w:r>
            <w:r w:rsidRPr="00F67C75">
              <w:rPr>
                <w:lang w:val="en-US"/>
              </w:rPr>
              <w:t> important potential confounders are appropriately accounted for, limiting potential bias with respect to the relationship between PFs and the outcome (low, moderate, high risk of bias).</w:t>
            </w:r>
          </w:p>
        </w:tc>
      </w:tr>
    </w:tbl>
    <w:p w14:paraId="6C48B3F4" w14:textId="4B8FAC83" w:rsidR="00F67C75" w:rsidRDefault="00F67C75">
      <w:pPr>
        <w:rPr>
          <w:lang w:val="en-US"/>
        </w:rPr>
      </w:pPr>
    </w:p>
    <w:p w14:paraId="61D9FD0C" w14:textId="02CD9EF0" w:rsidR="00F67C75" w:rsidRDefault="00F67C75">
      <w:pPr>
        <w:rPr>
          <w:lang w:val="en-US"/>
        </w:rPr>
      </w:pPr>
      <w:r>
        <w:rPr>
          <w:lang w:val="en-US"/>
        </w:rPr>
        <w:br w:type="page"/>
      </w:r>
    </w:p>
    <w:p w14:paraId="3F1D8314" w14:textId="77777777" w:rsidR="00F67C75" w:rsidRPr="00F67C75" w:rsidRDefault="00F67C75" w:rsidP="00F67C75">
      <w:pPr>
        <w:rPr>
          <w:b/>
          <w:bCs/>
          <w:lang w:val="en-US"/>
        </w:rPr>
      </w:pPr>
      <w:r w:rsidRPr="00F67C75">
        <w:rPr>
          <w:b/>
          <w:bCs/>
          <w:lang w:val="en-US"/>
        </w:rPr>
        <w:lastRenderedPageBreak/>
        <w:t>Bias: statistical analysis and reporting</w:t>
      </w:r>
    </w:p>
    <w:p w14:paraId="6A3A68D6" w14:textId="77777777" w:rsidR="00F67C75" w:rsidRPr="00F67C75" w:rsidRDefault="00F67C75" w:rsidP="00F67C75">
      <w:pPr>
        <w:rPr>
          <w:b/>
          <w:bCs/>
          <w:lang w:val="en-US"/>
        </w:rPr>
      </w:pPr>
      <w:r w:rsidRPr="00F67C75">
        <w:rPr>
          <w:b/>
          <w:bCs/>
          <w:lang w:val="en-US"/>
        </w:rPr>
        <w:t>Goal: to judge the risk of bias related to the statistical analysis and presentation of results</w:t>
      </w:r>
    </w:p>
    <w:tbl>
      <w:tblPr>
        <w:tblW w:w="0" w:type="dxa"/>
        <w:tblBorders>
          <w:top w:val="single" w:sz="6" w:space="0" w:color="696969"/>
        </w:tblBorders>
        <w:tblCellMar>
          <w:top w:w="15" w:type="dxa"/>
          <w:left w:w="15" w:type="dxa"/>
          <w:bottom w:w="15" w:type="dxa"/>
          <w:right w:w="15" w:type="dxa"/>
        </w:tblCellMar>
        <w:tblLook w:val="04A0" w:firstRow="1" w:lastRow="0" w:firstColumn="1" w:lastColumn="0" w:noHBand="0" w:noVBand="1"/>
      </w:tblPr>
      <w:tblGrid>
        <w:gridCol w:w="2627"/>
        <w:gridCol w:w="6437"/>
      </w:tblGrid>
      <w:tr w:rsidR="00F67C75" w:rsidRPr="00F67C75" w14:paraId="44F161AE" w14:textId="77777777" w:rsidTr="00F67C75">
        <w:tc>
          <w:tcPr>
            <w:tcW w:w="0" w:type="auto"/>
            <w:gridSpan w:val="2"/>
            <w:tcBorders>
              <w:top w:val="nil"/>
              <w:left w:val="nil"/>
              <w:bottom w:val="single" w:sz="6" w:space="0" w:color="696969"/>
              <w:right w:val="single" w:sz="6" w:space="0" w:color="auto"/>
            </w:tcBorders>
            <w:shd w:val="clear" w:color="auto" w:fill="auto"/>
            <w:tcMar>
              <w:top w:w="120" w:type="dxa"/>
              <w:left w:w="120" w:type="dxa"/>
              <w:bottom w:w="120" w:type="dxa"/>
              <w:right w:w="120" w:type="dxa"/>
            </w:tcMar>
            <w:hideMark/>
          </w:tcPr>
          <w:p w14:paraId="5DD4BA06" w14:textId="77777777" w:rsidR="00F67C75" w:rsidRPr="00F67C75" w:rsidRDefault="00F67C75" w:rsidP="00F67C75">
            <w:pPr>
              <w:rPr>
                <w:b/>
                <w:bCs/>
                <w:lang w:val="en-US"/>
              </w:rPr>
            </w:pPr>
            <w:r w:rsidRPr="00F67C75">
              <w:rPr>
                <w:b/>
                <w:bCs/>
                <w:lang w:val="en-US"/>
              </w:rPr>
              <w:t>Issues to consider for judging overall rating of bias</w:t>
            </w:r>
          </w:p>
        </w:tc>
      </w:tr>
      <w:tr w:rsidR="00F67C75" w:rsidRPr="00F67C75" w14:paraId="3E64383A"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7B3D2075" w14:textId="77777777" w:rsidR="00F67C75" w:rsidRPr="00F67C75" w:rsidRDefault="00F67C75" w:rsidP="00F67C75">
            <w:r w:rsidRPr="00F67C75">
              <w:t xml:space="preserve">Presentation of </w:t>
            </w:r>
            <w:proofErr w:type="spellStart"/>
            <w:r w:rsidRPr="00F67C75">
              <w:t>analytical</w:t>
            </w:r>
            <w:proofErr w:type="spellEnd"/>
            <w:r w:rsidRPr="00F67C75">
              <w:t xml:space="preserve"> </w:t>
            </w:r>
            <w:proofErr w:type="spellStart"/>
            <w:r w:rsidRPr="00F67C75">
              <w:t>strategy</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731316F2" w14:textId="77777777" w:rsidR="00F67C75" w:rsidRPr="00F67C75" w:rsidRDefault="00F67C75" w:rsidP="00F67C75">
            <w:pPr>
              <w:rPr>
                <w:lang w:val="en-US"/>
              </w:rPr>
            </w:pPr>
            <w:r w:rsidRPr="00F67C75">
              <w:rPr>
                <w:lang w:val="en-US"/>
              </w:rPr>
              <w:t>There is sufficient presentation of data to assess the appropriateness of the analysis used.</w:t>
            </w:r>
          </w:p>
        </w:tc>
      </w:tr>
      <w:tr w:rsidR="00F67C75" w:rsidRPr="00F67C75" w14:paraId="03710551"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25CDDBB8" w14:textId="77777777" w:rsidR="00F67C75" w:rsidRPr="00F67C75" w:rsidRDefault="00F67C75" w:rsidP="00F67C75">
            <w:r w:rsidRPr="00F67C75">
              <w:t xml:space="preserve">Model </w:t>
            </w:r>
            <w:proofErr w:type="spellStart"/>
            <w:r w:rsidRPr="00F67C75">
              <w:t>developmental</w:t>
            </w:r>
            <w:proofErr w:type="spellEnd"/>
            <w:r w:rsidRPr="00F67C75">
              <w:t xml:space="preserve"> </w:t>
            </w:r>
            <w:proofErr w:type="spellStart"/>
            <w:r w:rsidRPr="00F67C75">
              <w:t>strategy</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6572E2BB" w14:textId="77777777" w:rsidR="00F67C75" w:rsidRPr="00F67C75" w:rsidRDefault="00F67C75" w:rsidP="00F67C75">
            <w:pPr>
              <w:rPr>
                <w:lang w:val="en-US"/>
              </w:rPr>
            </w:pPr>
            <w:r w:rsidRPr="00F67C75">
              <w:rPr>
                <w:lang w:val="en-US"/>
              </w:rPr>
              <w:t>The strategy for prognostic model building is appropriate, and the statistical model used is appropriate for the study design.</w:t>
            </w:r>
          </w:p>
        </w:tc>
      </w:tr>
      <w:tr w:rsidR="00F67C75" w:rsidRPr="00F67C75" w14:paraId="4C9F0BB1" w14:textId="77777777" w:rsidTr="00F67C75">
        <w:tc>
          <w:tcPr>
            <w:tcW w:w="0" w:type="auto"/>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21E59EB0" w14:textId="77777777" w:rsidR="00F67C75" w:rsidRPr="00F67C75" w:rsidRDefault="00F67C75" w:rsidP="00F67C75">
            <w:r w:rsidRPr="00F67C75">
              <w:t xml:space="preserve">Reporting of </w:t>
            </w:r>
            <w:proofErr w:type="spellStart"/>
            <w:r w:rsidRPr="00F67C75">
              <w:t>results</w:t>
            </w:r>
            <w:proofErr w:type="spellEnd"/>
          </w:p>
        </w:tc>
        <w:tc>
          <w:tcPr>
            <w:tcW w:w="0" w:type="auto"/>
            <w:tcBorders>
              <w:top w:val="nil"/>
              <w:left w:val="single" w:sz="6" w:space="0" w:color="auto"/>
              <w:bottom w:val="single" w:sz="6" w:space="0" w:color="696969"/>
              <w:right w:val="single" w:sz="6" w:space="0" w:color="auto"/>
            </w:tcBorders>
            <w:shd w:val="clear" w:color="auto" w:fill="FFFFFF"/>
            <w:tcMar>
              <w:top w:w="120" w:type="dxa"/>
              <w:left w:w="120" w:type="dxa"/>
              <w:bottom w:w="120" w:type="dxa"/>
              <w:right w:w="120" w:type="dxa"/>
            </w:tcMar>
            <w:hideMark/>
          </w:tcPr>
          <w:p w14:paraId="01058A80" w14:textId="77777777" w:rsidR="00F67C75" w:rsidRPr="00F67C75" w:rsidRDefault="00F67C75" w:rsidP="00F67C75">
            <w:pPr>
              <w:rPr>
                <w:lang w:val="en-US"/>
              </w:rPr>
            </w:pPr>
            <w:r w:rsidRPr="00F67C75">
              <w:rPr>
                <w:lang w:val="en-US"/>
              </w:rPr>
              <w:t>There is no manifest selective reporting of results.</w:t>
            </w:r>
          </w:p>
        </w:tc>
      </w:tr>
      <w:tr w:rsidR="00F67C75" w:rsidRPr="00F67C75" w14:paraId="1C78E45E" w14:textId="77777777" w:rsidTr="00F67C75">
        <w:tc>
          <w:tcPr>
            <w:tcW w:w="0" w:type="auto"/>
            <w:gridSpan w:val="2"/>
            <w:tcBorders>
              <w:top w:val="nil"/>
              <w:left w:val="nil"/>
              <w:bottom w:val="single" w:sz="6" w:space="0" w:color="696969"/>
              <w:right w:val="single" w:sz="6" w:space="0" w:color="auto"/>
            </w:tcBorders>
            <w:shd w:val="clear" w:color="auto" w:fill="FFFFFF"/>
            <w:tcMar>
              <w:top w:w="120" w:type="dxa"/>
              <w:left w:w="120" w:type="dxa"/>
              <w:bottom w:w="120" w:type="dxa"/>
              <w:right w:w="120" w:type="dxa"/>
            </w:tcMar>
            <w:hideMark/>
          </w:tcPr>
          <w:p w14:paraId="0C90722D" w14:textId="77777777" w:rsidR="00F67C75" w:rsidRPr="00F67C75" w:rsidRDefault="00F67C75" w:rsidP="00F67C75">
            <w:pPr>
              <w:rPr>
                <w:lang w:val="en-US"/>
              </w:rPr>
            </w:pPr>
            <w:r w:rsidRPr="00F67C75">
              <w:rPr>
                <w:b/>
                <w:bCs/>
                <w:lang w:val="en-US"/>
              </w:rPr>
              <w:t>Summary statistical analysis and reporting:</w:t>
            </w:r>
            <w:r w:rsidRPr="00F67C75">
              <w:rPr>
                <w:lang w:val="en-US"/>
              </w:rPr>
              <w:t> the statistical analysis is appropriate for the design of the study, limiting potential for presentation of invalid or spurious results, and selective reporting is unlikely (low, moderate, high risk of bias).</w:t>
            </w:r>
          </w:p>
        </w:tc>
      </w:tr>
    </w:tbl>
    <w:p w14:paraId="25570E0B" w14:textId="77777777" w:rsidR="00F67C75" w:rsidRPr="00F67C75" w:rsidRDefault="00F67C75">
      <w:pPr>
        <w:rPr>
          <w:lang w:val="en-US"/>
        </w:rPr>
      </w:pPr>
    </w:p>
    <w:sectPr w:rsidR="00F67C75" w:rsidRPr="00F67C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B0A0C"/>
    <w:multiLevelType w:val="multilevel"/>
    <w:tmpl w:val="571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C75"/>
    <w:rsid w:val="004E691E"/>
    <w:rsid w:val="00906CD0"/>
    <w:rsid w:val="00A7024B"/>
    <w:rsid w:val="00F67C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A84E9"/>
  <w15:chartTrackingRefBased/>
  <w15:docId w15:val="{21A6B011-EE75-4ED1-A549-AD9BCD57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F67C75"/>
    <w:rPr>
      <w:color w:val="0563C1" w:themeColor="hyperlink"/>
      <w:u w:val="single"/>
    </w:rPr>
  </w:style>
  <w:style w:type="character" w:styleId="Onopgelostemelding">
    <w:name w:val="Unresolved Mention"/>
    <w:basedOn w:val="Standaardalinea-lettertype"/>
    <w:uiPriority w:val="99"/>
    <w:semiHidden/>
    <w:unhideWhenUsed/>
    <w:rsid w:val="00F67C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6594">
      <w:bodyDiv w:val="1"/>
      <w:marLeft w:val="0"/>
      <w:marRight w:val="0"/>
      <w:marTop w:val="0"/>
      <w:marBottom w:val="0"/>
      <w:divBdr>
        <w:top w:val="none" w:sz="0" w:space="0" w:color="auto"/>
        <w:left w:val="none" w:sz="0" w:space="0" w:color="auto"/>
        <w:bottom w:val="none" w:sz="0" w:space="0" w:color="auto"/>
        <w:right w:val="none" w:sz="0" w:space="0" w:color="auto"/>
      </w:divBdr>
      <w:divsChild>
        <w:div w:id="1144009775">
          <w:marLeft w:val="0"/>
          <w:marRight w:val="0"/>
          <w:marTop w:val="0"/>
          <w:marBottom w:val="225"/>
          <w:divBdr>
            <w:top w:val="none" w:sz="0" w:space="0" w:color="auto"/>
            <w:left w:val="none" w:sz="0" w:space="0" w:color="auto"/>
            <w:bottom w:val="none" w:sz="0" w:space="0" w:color="auto"/>
            <w:right w:val="none" w:sz="0" w:space="0" w:color="auto"/>
          </w:divBdr>
        </w:div>
      </w:divsChild>
    </w:div>
    <w:div w:id="120270283">
      <w:bodyDiv w:val="1"/>
      <w:marLeft w:val="0"/>
      <w:marRight w:val="0"/>
      <w:marTop w:val="0"/>
      <w:marBottom w:val="0"/>
      <w:divBdr>
        <w:top w:val="none" w:sz="0" w:space="0" w:color="auto"/>
        <w:left w:val="none" w:sz="0" w:space="0" w:color="auto"/>
        <w:bottom w:val="none" w:sz="0" w:space="0" w:color="auto"/>
        <w:right w:val="none" w:sz="0" w:space="0" w:color="auto"/>
      </w:divBdr>
      <w:divsChild>
        <w:div w:id="694690445">
          <w:marLeft w:val="0"/>
          <w:marRight w:val="0"/>
          <w:marTop w:val="0"/>
          <w:marBottom w:val="225"/>
          <w:divBdr>
            <w:top w:val="none" w:sz="0" w:space="0" w:color="auto"/>
            <w:left w:val="none" w:sz="0" w:space="0" w:color="auto"/>
            <w:bottom w:val="none" w:sz="0" w:space="0" w:color="auto"/>
            <w:right w:val="none" w:sz="0" w:space="0" w:color="auto"/>
          </w:divBdr>
        </w:div>
      </w:divsChild>
    </w:div>
    <w:div w:id="124273891">
      <w:bodyDiv w:val="1"/>
      <w:marLeft w:val="0"/>
      <w:marRight w:val="0"/>
      <w:marTop w:val="0"/>
      <w:marBottom w:val="0"/>
      <w:divBdr>
        <w:top w:val="none" w:sz="0" w:space="0" w:color="auto"/>
        <w:left w:val="none" w:sz="0" w:space="0" w:color="auto"/>
        <w:bottom w:val="none" w:sz="0" w:space="0" w:color="auto"/>
        <w:right w:val="none" w:sz="0" w:space="0" w:color="auto"/>
      </w:divBdr>
      <w:divsChild>
        <w:div w:id="466096483">
          <w:marLeft w:val="0"/>
          <w:marRight w:val="0"/>
          <w:marTop w:val="0"/>
          <w:marBottom w:val="225"/>
          <w:divBdr>
            <w:top w:val="none" w:sz="0" w:space="0" w:color="auto"/>
            <w:left w:val="none" w:sz="0" w:space="0" w:color="auto"/>
            <w:bottom w:val="none" w:sz="0" w:space="0" w:color="auto"/>
            <w:right w:val="none" w:sz="0" w:space="0" w:color="auto"/>
          </w:divBdr>
        </w:div>
      </w:divsChild>
    </w:div>
    <w:div w:id="340813106">
      <w:bodyDiv w:val="1"/>
      <w:marLeft w:val="0"/>
      <w:marRight w:val="0"/>
      <w:marTop w:val="0"/>
      <w:marBottom w:val="0"/>
      <w:divBdr>
        <w:top w:val="none" w:sz="0" w:space="0" w:color="auto"/>
        <w:left w:val="none" w:sz="0" w:space="0" w:color="auto"/>
        <w:bottom w:val="none" w:sz="0" w:space="0" w:color="auto"/>
        <w:right w:val="none" w:sz="0" w:space="0" w:color="auto"/>
      </w:divBdr>
    </w:div>
    <w:div w:id="457842348">
      <w:bodyDiv w:val="1"/>
      <w:marLeft w:val="0"/>
      <w:marRight w:val="0"/>
      <w:marTop w:val="0"/>
      <w:marBottom w:val="0"/>
      <w:divBdr>
        <w:top w:val="none" w:sz="0" w:space="0" w:color="auto"/>
        <w:left w:val="none" w:sz="0" w:space="0" w:color="auto"/>
        <w:bottom w:val="none" w:sz="0" w:space="0" w:color="auto"/>
        <w:right w:val="none" w:sz="0" w:space="0" w:color="auto"/>
      </w:divBdr>
      <w:divsChild>
        <w:div w:id="979921828">
          <w:marLeft w:val="0"/>
          <w:marRight w:val="0"/>
          <w:marTop w:val="0"/>
          <w:marBottom w:val="225"/>
          <w:divBdr>
            <w:top w:val="none" w:sz="0" w:space="0" w:color="auto"/>
            <w:left w:val="none" w:sz="0" w:space="0" w:color="auto"/>
            <w:bottom w:val="none" w:sz="0" w:space="0" w:color="auto"/>
            <w:right w:val="none" w:sz="0" w:space="0" w:color="auto"/>
          </w:divBdr>
        </w:div>
      </w:divsChild>
    </w:div>
    <w:div w:id="530072360">
      <w:bodyDiv w:val="1"/>
      <w:marLeft w:val="0"/>
      <w:marRight w:val="0"/>
      <w:marTop w:val="0"/>
      <w:marBottom w:val="0"/>
      <w:divBdr>
        <w:top w:val="none" w:sz="0" w:space="0" w:color="auto"/>
        <w:left w:val="none" w:sz="0" w:space="0" w:color="auto"/>
        <w:bottom w:val="none" w:sz="0" w:space="0" w:color="auto"/>
        <w:right w:val="none" w:sz="0" w:space="0" w:color="auto"/>
      </w:divBdr>
    </w:div>
    <w:div w:id="667635962">
      <w:bodyDiv w:val="1"/>
      <w:marLeft w:val="0"/>
      <w:marRight w:val="0"/>
      <w:marTop w:val="0"/>
      <w:marBottom w:val="0"/>
      <w:divBdr>
        <w:top w:val="none" w:sz="0" w:space="0" w:color="auto"/>
        <w:left w:val="none" w:sz="0" w:space="0" w:color="auto"/>
        <w:bottom w:val="none" w:sz="0" w:space="0" w:color="auto"/>
        <w:right w:val="none" w:sz="0" w:space="0" w:color="auto"/>
      </w:divBdr>
      <w:divsChild>
        <w:div w:id="1865635974">
          <w:marLeft w:val="0"/>
          <w:marRight w:val="0"/>
          <w:marTop w:val="0"/>
          <w:marBottom w:val="225"/>
          <w:divBdr>
            <w:top w:val="none" w:sz="0" w:space="0" w:color="auto"/>
            <w:left w:val="none" w:sz="0" w:space="0" w:color="auto"/>
            <w:bottom w:val="none" w:sz="0" w:space="0" w:color="auto"/>
            <w:right w:val="none" w:sz="0" w:space="0" w:color="auto"/>
          </w:divBdr>
        </w:div>
      </w:divsChild>
    </w:div>
    <w:div w:id="967320043">
      <w:bodyDiv w:val="1"/>
      <w:marLeft w:val="0"/>
      <w:marRight w:val="0"/>
      <w:marTop w:val="0"/>
      <w:marBottom w:val="0"/>
      <w:divBdr>
        <w:top w:val="none" w:sz="0" w:space="0" w:color="auto"/>
        <w:left w:val="none" w:sz="0" w:space="0" w:color="auto"/>
        <w:bottom w:val="none" w:sz="0" w:space="0" w:color="auto"/>
        <w:right w:val="none" w:sz="0" w:space="0" w:color="auto"/>
      </w:divBdr>
      <w:divsChild>
        <w:div w:id="2108648904">
          <w:marLeft w:val="0"/>
          <w:marRight w:val="0"/>
          <w:marTop w:val="0"/>
          <w:marBottom w:val="225"/>
          <w:divBdr>
            <w:top w:val="none" w:sz="0" w:space="0" w:color="auto"/>
            <w:left w:val="none" w:sz="0" w:space="0" w:color="auto"/>
            <w:bottom w:val="none" w:sz="0" w:space="0" w:color="auto"/>
            <w:right w:val="none" w:sz="0" w:space="0" w:color="auto"/>
          </w:divBdr>
        </w:div>
      </w:divsChild>
    </w:div>
    <w:div w:id="1243174016">
      <w:bodyDiv w:val="1"/>
      <w:marLeft w:val="0"/>
      <w:marRight w:val="0"/>
      <w:marTop w:val="0"/>
      <w:marBottom w:val="0"/>
      <w:divBdr>
        <w:top w:val="none" w:sz="0" w:space="0" w:color="auto"/>
        <w:left w:val="none" w:sz="0" w:space="0" w:color="auto"/>
        <w:bottom w:val="none" w:sz="0" w:space="0" w:color="auto"/>
        <w:right w:val="none" w:sz="0" w:space="0" w:color="auto"/>
      </w:divBdr>
      <w:divsChild>
        <w:div w:id="2040012704">
          <w:marLeft w:val="0"/>
          <w:marRight w:val="0"/>
          <w:marTop w:val="0"/>
          <w:marBottom w:val="225"/>
          <w:divBdr>
            <w:top w:val="none" w:sz="0" w:space="0" w:color="auto"/>
            <w:left w:val="none" w:sz="0" w:space="0" w:color="auto"/>
            <w:bottom w:val="none" w:sz="0" w:space="0" w:color="auto"/>
            <w:right w:val="none" w:sz="0" w:space="0" w:color="auto"/>
          </w:divBdr>
        </w:div>
      </w:divsChild>
    </w:div>
    <w:div w:id="1298102864">
      <w:bodyDiv w:val="1"/>
      <w:marLeft w:val="0"/>
      <w:marRight w:val="0"/>
      <w:marTop w:val="0"/>
      <w:marBottom w:val="0"/>
      <w:divBdr>
        <w:top w:val="none" w:sz="0" w:space="0" w:color="auto"/>
        <w:left w:val="none" w:sz="0" w:space="0" w:color="auto"/>
        <w:bottom w:val="none" w:sz="0" w:space="0" w:color="auto"/>
        <w:right w:val="none" w:sz="0" w:space="0" w:color="auto"/>
      </w:divBdr>
      <w:divsChild>
        <w:div w:id="1073117745">
          <w:marLeft w:val="0"/>
          <w:marRight w:val="0"/>
          <w:marTop w:val="0"/>
          <w:marBottom w:val="225"/>
          <w:divBdr>
            <w:top w:val="none" w:sz="0" w:space="0" w:color="auto"/>
            <w:left w:val="none" w:sz="0" w:space="0" w:color="auto"/>
            <w:bottom w:val="none" w:sz="0" w:space="0" w:color="auto"/>
            <w:right w:val="none" w:sz="0" w:space="0" w:color="auto"/>
          </w:divBdr>
        </w:div>
      </w:divsChild>
    </w:div>
    <w:div w:id="1373530004">
      <w:bodyDiv w:val="1"/>
      <w:marLeft w:val="0"/>
      <w:marRight w:val="0"/>
      <w:marTop w:val="0"/>
      <w:marBottom w:val="0"/>
      <w:divBdr>
        <w:top w:val="none" w:sz="0" w:space="0" w:color="auto"/>
        <w:left w:val="none" w:sz="0" w:space="0" w:color="auto"/>
        <w:bottom w:val="none" w:sz="0" w:space="0" w:color="auto"/>
        <w:right w:val="none" w:sz="0" w:space="0" w:color="auto"/>
      </w:divBdr>
      <w:divsChild>
        <w:div w:id="1959486463">
          <w:marLeft w:val="0"/>
          <w:marRight w:val="0"/>
          <w:marTop w:val="0"/>
          <w:marBottom w:val="225"/>
          <w:divBdr>
            <w:top w:val="none" w:sz="0" w:space="0" w:color="auto"/>
            <w:left w:val="none" w:sz="0" w:space="0" w:color="auto"/>
            <w:bottom w:val="none" w:sz="0" w:space="0" w:color="auto"/>
            <w:right w:val="none" w:sz="0" w:space="0" w:color="auto"/>
          </w:divBdr>
        </w:div>
      </w:divsChild>
    </w:div>
    <w:div w:id="1459033906">
      <w:bodyDiv w:val="1"/>
      <w:marLeft w:val="0"/>
      <w:marRight w:val="0"/>
      <w:marTop w:val="0"/>
      <w:marBottom w:val="0"/>
      <w:divBdr>
        <w:top w:val="none" w:sz="0" w:space="0" w:color="auto"/>
        <w:left w:val="none" w:sz="0" w:space="0" w:color="auto"/>
        <w:bottom w:val="none" w:sz="0" w:space="0" w:color="auto"/>
        <w:right w:val="none" w:sz="0" w:space="0" w:color="auto"/>
      </w:divBdr>
      <w:divsChild>
        <w:div w:id="499351373">
          <w:marLeft w:val="0"/>
          <w:marRight w:val="0"/>
          <w:marTop w:val="0"/>
          <w:marBottom w:val="225"/>
          <w:divBdr>
            <w:top w:val="none" w:sz="0" w:space="0" w:color="auto"/>
            <w:left w:val="none" w:sz="0" w:space="0" w:color="auto"/>
            <w:bottom w:val="none" w:sz="0" w:space="0" w:color="auto"/>
            <w:right w:val="none" w:sz="0" w:space="0" w:color="auto"/>
          </w:divBdr>
        </w:div>
      </w:divsChild>
    </w:div>
    <w:div w:id="1754665800">
      <w:bodyDiv w:val="1"/>
      <w:marLeft w:val="0"/>
      <w:marRight w:val="0"/>
      <w:marTop w:val="0"/>
      <w:marBottom w:val="0"/>
      <w:divBdr>
        <w:top w:val="none" w:sz="0" w:space="0" w:color="auto"/>
        <w:left w:val="none" w:sz="0" w:space="0" w:color="auto"/>
        <w:bottom w:val="none" w:sz="0" w:space="0" w:color="auto"/>
        <w:right w:val="none" w:sz="0" w:space="0" w:color="auto"/>
      </w:divBdr>
    </w:div>
    <w:div w:id="1790123953">
      <w:bodyDiv w:val="1"/>
      <w:marLeft w:val="0"/>
      <w:marRight w:val="0"/>
      <w:marTop w:val="0"/>
      <w:marBottom w:val="0"/>
      <w:divBdr>
        <w:top w:val="none" w:sz="0" w:space="0" w:color="auto"/>
        <w:left w:val="none" w:sz="0" w:space="0" w:color="auto"/>
        <w:bottom w:val="none" w:sz="0" w:space="0" w:color="auto"/>
        <w:right w:val="none" w:sz="0" w:space="0" w:color="auto"/>
      </w:divBdr>
      <w:divsChild>
        <w:div w:id="298656703">
          <w:marLeft w:val="0"/>
          <w:marRight w:val="0"/>
          <w:marTop w:val="0"/>
          <w:marBottom w:val="225"/>
          <w:divBdr>
            <w:top w:val="none" w:sz="0" w:space="0" w:color="auto"/>
            <w:left w:val="none" w:sz="0" w:space="0" w:color="auto"/>
            <w:bottom w:val="none" w:sz="0" w:space="0" w:color="auto"/>
            <w:right w:val="none" w:sz="0" w:space="0" w:color="auto"/>
          </w:divBdr>
        </w:div>
      </w:divsChild>
    </w:div>
    <w:div w:id="1912620547">
      <w:bodyDiv w:val="1"/>
      <w:marLeft w:val="0"/>
      <w:marRight w:val="0"/>
      <w:marTop w:val="0"/>
      <w:marBottom w:val="0"/>
      <w:divBdr>
        <w:top w:val="none" w:sz="0" w:space="0" w:color="auto"/>
        <w:left w:val="none" w:sz="0" w:space="0" w:color="auto"/>
        <w:bottom w:val="none" w:sz="0" w:space="0" w:color="auto"/>
        <w:right w:val="none" w:sz="0" w:space="0" w:color="auto"/>
      </w:divBdr>
      <w:divsChild>
        <w:div w:id="1613053729">
          <w:marLeft w:val="0"/>
          <w:marRight w:val="0"/>
          <w:marTop w:val="0"/>
          <w:marBottom w:val="225"/>
          <w:divBdr>
            <w:top w:val="none" w:sz="0" w:space="0" w:color="auto"/>
            <w:left w:val="none" w:sz="0" w:space="0" w:color="auto"/>
            <w:bottom w:val="none" w:sz="0" w:space="0" w:color="auto"/>
            <w:right w:val="none" w:sz="0" w:space="0" w:color="auto"/>
          </w:divBdr>
        </w:div>
      </w:divsChild>
    </w:div>
    <w:div w:id="192992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chranelibrary.com/cdsr/doi/10.1002/14651858.CD013848.pub2/references" TargetMode="External"/><Relationship Id="rId3" Type="http://schemas.openxmlformats.org/officeDocument/2006/relationships/settings" Target="settings.xml"/><Relationship Id="rId7" Type="http://schemas.openxmlformats.org/officeDocument/2006/relationships/hyperlink" Target="https://www.cochranelibrary.com/cdsr/doi/10.1002/14651858.CD013848.pub2/referen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chranelibrary.com/cdsr/doi/10.1002/14651858.CD013848.pub2/appendices" TargetMode="External"/><Relationship Id="rId5" Type="http://schemas.openxmlformats.org/officeDocument/2006/relationships/hyperlink" Target="https://www.cochranelibrary.com/cdsr/doi/10.1002/14651858.CD013848.pub2/referenc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2002</Words>
  <Characters>11015</Characters>
  <Application>Microsoft Office Word</Application>
  <DocSecurity>0</DocSecurity>
  <Lines>91</Lines>
  <Paragraphs>25</Paragraphs>
  <ScaleCrop>false</ScaleCrop>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Kampman-2, S.L. (Sem)</dc:creator>
  <cp:keywords/>
  <dc:description/>
  <cp:lastModifiedBy>Kampman-2, S.L. (Sem)</cp:lastModifiedBy>
  <cp:revision>1</cp:revision>
  <dcterms:created xsi:type="dcterms:W3CDTF">2025-12-17T16:23:00Z</dcterms:created>
  <dcterms:modified xsi:type="dcterms:W3CDTF">2025-12-17T16:30:00Z</dcterms:modified>
</cp:coreProperties>
</file>