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 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 (0.002–0.130)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 (0.320–0.530)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 (0.290–0.480)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 (0.030–0.260)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 (0.002–0.170)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 (0.180–0.390)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 (0.300–0.500)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2026-09-02T21:32:33Z</dcterms:modified>
  <cp:category/>
</cp:coreProperties>
</file>