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FD64" w14:textId="059B3A67" w:rsidR="005D45AA" w:rsidRPr="00426CC2" w:rsidRDefault="004C572F" w:rsidP="004C572F">
      <w:pPr>
        <w:pStyle w:val="Titel"/>
      </w:pPr>
      <w:r w:rsidRPr="00426CC2">
        <w:t>Tevredenheidsonderzoek</w:t>
      </w:r>
    </w:p>
    <w:p w14:paraId="1EC9ED06" w14:textId="033FB12A" w:rsidR="00E66D7F" w:rsidRPr="00426CC2" w:rsidRDefault="001A3381">
      <w:r w:rsidRPr="00426CC2">
        <w:t xml:space="preserve">Elk najaar voert de </w:t>
      </w:r>
      <w:r w:rsidR="00157CEB" w:rsidRPr="00426CC2">
        <w:t>gemeente</w:t>
      </w:r>
      <w:r w:rsidRPr="00426CC2">
        <w:t xml:space="preserve"> Breda een alge</w:t>
      </w:r>
      <w:r w:rsidR="00157CEB" w:rsidRPr="00426CC2">
        <w:t xml:space="preserve">mene </w:t>
      </w:r>
      <w:r w:rsidR="00426CC2" w:rsidRPr="00426CC2">
        <w:t>stad</w:t>
      </w:r>
      <w:r w:rsidR="00426CC2">
        <w:t>s</w:t>
      </w:r>
      <w:r w:rsidR="00426CC2" w:rsidRPr="00426CC2">
        <w:t>enquête</w:t>
      </w:r>
      <w:r w:rsidR="00157CEB" w:rsidRPr="00426CC2">
        <w:t xml:space="preserve"> uit om vast te stellen in welke gebieden </w:t>
      </w:r>
      <w:r w:rsidR="00E66D7F" w:rsidRPr="00426CC2">
        <w:t xml:space="preserve">de stad en haar inwoners tevreden zijn en welke gebieden meer aandacht vereisen voor het komende jaar. De </w:t>
      </w:r>
      <w:r w:rsidR="00426CC2" w:rsidRPr="00426CC2">
        <w:t>enquête</w:t>
      </w:r>
      <w:r w:rsidR="00E66D7F" w:rsidRPr="00426CC2">
        <w:t xml:space="preserve"> duikt in op </w:t>
      </w:r>
      <w:r w:rsidR="00426CC2" w:rsidRPr="00426CC2">
        <w:t>verschillende</w:t>
      </w:r>
      <w:r w:rsidR="00E66D7F" w:rsidRPr="00426CC2">
        <w:t xml:space="preserve"> onderwerpen zoals:</w:t>
      </w:r>
    </w:p>
    <w:p w14:paraId="76331252" w14:textId="089482AB" w:rsidR="00E66D7F" w:rsidRPr="00426CC2" w:rsidRDefault="00E66D7F" w:rsidP="00E66D7F">
      <w:pPr>
        <w:pStyle w:val="Lijstalinea"/>
        <w:numPr>
          <w:ilvl w:val="0"/>
          <w:numId w:val="1"/>
        </w:numPr>
      </w:pPr>
      <w:r w:rsidRPr="00426CC2">
        <w:t>Afvalservices</w:t>
      </w:r>
    </w:p>
    <w:p w14:paraId="4465A02E" w14:textId="3ED1F266" w:rsidR="00E66D7F" w:rsidRPr="00426CC2" w:rsidRDefault="00E66D7F" w:rsidP="00E66D7F">
      <w:pPr>
        <w:pStyle w:val="Lijstalinea"/>
        <w:numPr>
          <w:ilvl w:val="0"/>
          <w:numId w:val="1"/>
        </w:numPr>
      </w:pPr>
      <w:r w:rsidRPr="00426CC2">
        <w:t>Breda/Gemeente</w:t>
      </w:r>
    </w:p>
    <w:p w14:paraId="174CFD9C" w14:textId="11CB78AD" w:rsidR="00E66D7F" w:rsidRPr="00426CC2" w:rsidRDefault="00E66D7F" w:rsidP="00E66D7F">
      <w:pPr>
        <w:pStyle w:val="Lijstalinea"/>
        <w:numPr>
          <w:ilvl w:val="0"/>
          <w:numId w:val="1"/>
        </w:numPr>
      </w:pPr>
      <w:r w:rsidRPr="00426CC2">
        <w:t>Binnenstad</w:t>
      </w:r>
    </w:p>
    <w:p w14:paraId="45E1461C" w14:textId="76FA0C77" w:rsidR="00E66D7F" w:rsidRPr="00426CC2" w:rsidRDefault="00E66D7F" w:rsidP="00E66D7F">
      <w:pPr>
        <w:pStyle w:val="Lijstalinea"/>
        <w:numPr>
          <w:ilvl w:val="0"/>
          <w:numId w:val="1"/>
        </w:numPr>
      </w:pPr>
      <w:r w:rsidRPr="00426CC2">
        <w:t>Leefbaarheid en veiligheid</w:t>
      </w:r>
    </w:p>
    <w:p w14:paraId="71BD3A0C" w14:textId="5DCEADD0" w:rsidR="00E66D7F" w:rsidRPr="00426CC2" w:rsidRDefault="00E66D7F" w:rsidP="00E66D7F">
      <w:pPr>
        <w:pStyle w:val="Lijstalinea"/>
        <w:numPr>
          <w:ilvl w:val="0"/>
          <w:numId w:val="1"/>
        </w:numPr>
      </w:pPr>
      <w:r w:rsidRPr="00426CC2">
        <w:t>Digitalisering en criminaliteit</w:t>
      </w:r>
    </w:p>
    <w:p w14:paraId="5CEEEAB0" w14:textId="325AF721" w:rsidR="00E66D7F" w:rsidRPr="00426CC2" w:rsidRDefault="00E66D7F" w:rsidP="00E66D7F">
      <w:pPr>
        <w:pStyle w:val="Lijstalinea"/>
        <w:numPr>
          <w:ilvl w:val="0"/>
          <w:numId w:val="1"/>
        </w:numPr>
      </w:pPr>
      <w:r w:rsidRPr="00426CC2">
        <w:t>Toegang en Tevredenheid over zorg</w:t>
      </w:r>
    </w:p>
    <w:p w14:paraId="66C76974" w14:textId="088AE1CC" w:rsidR="00E66D7F" w:rsidRPr="00426CC2" w:rsidRDefault="00E66D7F" w:rsidP="00E66D7F">
      <w:pPr>
        <w:pStyle w:val="Lijstalinea"/>
        <w:numPr>
          <w:ilvl w:val="0"/>
          <w:numId w:val="1"/>
        </w:numPr>
      </w:pPr>
      <w:r w:rsidRPr="00426CC2">
        <w:t>Bereikbaarheid en mobiliteit</w:t>
      </w:r>
    </w:p>
    <w:p w14:paraId="7C67E215" w14:textId="77777777" w:rsidR="00E66D7F" w:rsidRPr="00426CC2" w:rsidRDefault="00E66D7F" w:rsidP="00E66D7F">
      <w:pPr>
        <w:pStyle w:val="Lijstalinea"/>
        <w:numPr>
          <w:ilvl w:val="0"/>
          <w:numId w:val="1"/>
        </w:numPr>
      </w:pPr>
      <w:r w:rsidRPr="00426CC2">
        <w:t>Milieu en duurzaamheid</w:t>
      </w:r>
    </w:p>
    <w:p w14:paraId="270D2E9A" w14:textId="77777777" w:rsidR="00E66D7F" w:rsidRPr="00426CC2" w:rsidRDefault="00E66D7F" w:rsidP="00E66D7F">
      <w:pPr>
        <w:pStyle w:val="Lijstalinea"/>
        <w:numPr>
          <w:ilvl w:val="0"/>
          <w:numId w:val="1"/>
        </w:numPr>
      </w:pPr>
      <w:r w:rsidRPr="00426CC2">
        <w:t>Cultuur</w:t>
      </w:r>
    </w:p>
    <w:p w14:paraId="5C1AA47A" w14:textId="362AE465" w:rsidR="004E459E" w:rsidRPr="00426CC2" w:rsidRDefault="00665561" w:rsidP="00E66D7F">
      <w:pPr>
        <w:pStyle w:val="Lijstalinea"/>
        <w:ind w:left="0"/>
      </w:pPr>
      <w:r w:rsidRPr="00426CC2">
        <w:t xml:space="preserve">In de afgelopen 3 jaar is de respons op de </w:t>
      </w:r>
      <w:r w:rsidR="00426CC2" w:rsidRPr="00426CC2">
        <w:t>enquête</w:t>
      </w:r>
      <w:r w:rsidRPr="00426CC2">
        <w:t xml:space="preserve"> toegenomen met 2019: 24%, 2020: 28% en 2021: 34% van 3400 verstuurde </w:t>
      </w:r>
      <w:r w:rsidR="00426CC2" w:rsidRPr="00426CC2">
        <w:t>enquêtes</w:t>
      </w:r>
      <w:r w:rsidRPr="00426CC2">
        <w:t xml:space="preserve"> beantwoord te zijn. Dit is volgens de gemeente</w:t>
      </w:r>
      <w:r w:rsidR="004E459E" w:rsidRPr="00426CC2">
        <w:t xml:space="preserve"> </w:t>
      </w:r>
      <w:sdt>
        <w:sdtPr>
          <w:id w:val="1224182306"/>
          <w:citation/>
        </w:sdtPr>
        <w:sdtContent>
          <w:r w:rsidR="004E459E" w:rsidRPr="00426CC2">
            <w:fldChar w:fldCharType="begin"/>
          </w:r>
          <w:r w:rsidR="004E459E" w:rsidRPr="00426CC2">
            <w:instrText xml:space="preserve"> CITATION ior22 \l 2057 </w:instrText>
          </w:r>
          <w:r w:rsidR="004E459E" w:rsidRPr="00426CC2">
            <w:fldChar w:fldCharType="separate"/>
          </w:r>
          <w:r w:rsidR="004E459E" w:rsidRPr="00426CC2">
            <w:t>(i&amp;o research, 2022)</w:t>
          </w:r>
          <w:r w:rsidR="004E459E" w:rsidRPr="00426CC2">
            <w:fldChar w:fldCharType="end"/>
          </w:r>
        </w:sdtContent>
      </w:sdt>
      <w:r w:rsidR="004E459E" w:rsidRPr="00426CC2">
        <w:t xml:space="preserve"> ruim voldoende om </w:t>
      </w:r>
      <w:r w:rsidR="00426CC2" w:rsidRPr="00426CC2">
        <w:t>betrouwbare</w:t>
      </w:r>
      <w:r w:rsidR="004E459E" w:rsidRPr="00426CC2">
        <w:t xml:space="preserve"> uitspraken op gemeenteniveau te kunnen doen.</w:t>
      </w:r>
    </w:p>
    <w:p w14:paraId="75895252" w14:textId="77777777" w:rsidR="00BD1E07" w:rsidRPr="00426CC2" w:rsidRDefault="00BD1E07" w:rsidP="00E66D7F">
      <w:pPr>
        <w:pStyle w:val="Lijstalinea"/>
        <w:ind w:left="0"/>
      </w:pPr>
    </w:p>
    <w:p w14:paraId="3C35AD4E" w14:textId="77EDB6C3" w:rsidR="00BD1E07" w:rsidRPr="00426CC2" w:rsidRDefault="00BD1E07" w:rsidP="00E66D7F">
      <w:pPr>
        <w:pStyle w:val="Lijstalinea"/>
        <w:ind w:left="0"/>
      </w:pPr>
      <w:r w:rsidRPr="00426CC2">
        <w:drawing>
          <wp:anchor distT="0" distB="0" distL="114300" distR="114300" simplePos="0" relativeHeight="251658240" behindDoc="0" locked="0" layoutInCell="1" allowOverlap="1" wp14:anchorId="7EB4A79D" wp14:editId="56C252C2">
            <wp:simplePos x="0" y="0"/>
            <wp:positionH relativeFrom="margin">
              <wp:posOffset>1200150</wp:posOffset>
            </wp:positionH>
            <wp:positionV relativeFrom="paragraph">
              <wp:posOffset>437515</wp:posOffset>
            </wp:positionV>
            <wp:extent cx="3333750" cy="1847850"/>
            <wp:effectExtent l="0" t="0" r="0" b="0"/>
            <wp:wrapTopAndBottom/>
            <wp:docPr id="1" name="Picture 1" descr="gemeente-breda-logo-png - Samen voor B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meente-breda-logo-png - Samen voor Breda"/>
                    <pic:cNvPicPr>
                      <a:picLocks noChangeAspect="1" noChangeArrowheads="1"/>
                    </pic:cNvPicPr>
                  </pic:nvPicPr>
                  <pic:blipFill rotWithShape="1">
                    <a:blip r:embed="rId6">
                      <a:extLst>
                        <a:ext uri="{28A0092B-C50C-407E-A947-70E740481C1C}">
                          <a14:useLocalDpi xmlns:a14="http://schemas.microsoft.com/office/drawing/2010/main" val="0"/>
                        </a:ext>
                      </a:extLst>
                    </a:blip>
                    <a:srcRect t="7408" b="20741"/>
                    <a:stretch/>
                  </pic:blipFill>
                  <pic:spPr bwMode="auto">
                    <a:xfrm>
                      <a:off x="0" y="0"/>
                      <a:ext cx="3333750" cy="18478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941DA14" w14:textId="5AE2A9FB" w:rsidR="00BD1E07" w:rsidRPr="00426CC2" w:rsidRDefault="00BD1E07" w:rsidP="00E66D7F">
      <w:pPr>
        <w:pStyle w:val="Lijstalinea"/>
        <w:ind w:left="0"/>
      </w:pPr>
    </w:p>
    <w:p w14:paraId="11C4C21C" w14:textId="279A0101" w:rsidR="00BD1E07" w:rsidRPr="00426CC2" w:rsidRDefault="008160BA" w:rsidP="00BD1E07">
      <w:pPr>
        <w:pStyle w:val="Kop2"/>
      </w:pPr>
      <w:r w:rsidRPr="00426CC2">
        <w:t xml:space="preserve">2. </w:t>
      </w:r>
      <w:r w:rsidR="00BD1E07" w:rsidRPr="00426CC2">
        <w:t>Trost op Breda</w:t>
      </w:r>
    </w:p>
    <w:p w14:paraId="6CC2D7C7" w14:textId="5674A178" w:rsidR="008160BA" w:rsidRPr="00426CC2" w:rsidRDefault="00BD1E07" w:rsidP="00BD1E07">
      <w:r w:rsidRPr="00426CC2">
        <w:t xml:space="preserve">De afgelopen 4 jaar is de </w:t>
      </w:r>
      <w:proofErr w:type="spellStart"/>
      <w:r w:rsidR="00C45037" w:rsidRPr="00C45037">
        <w:rPr>
          <w:rStyle w:val="Nadruk"/>
          <w:i w:val="0"/>
          <w:iCs w:val="0"/>
        </w:rPr>
        <w:t>Bredaënaar</w:t>
      </w:r>
      <w:proofErr w:type="spellEnd"/>
      <w:r w:rsidR="00C45037">
        <w:t xml:space="preserve"> </w:t>
      </w:r>
      <w:r w:rsidRPr="00426CC2">
        <w:t xml:space="preserve">trots geweest op zijn stad. </w:t>
      </w:r>
      <w:r w:rsidR="000E2587" w:rsidRPr="00426CC2">
        <w:t>Sinds 2018 schommelt het percentage tussen 69 en 73% waarvan één derde zeer/heel trots is op de stad</w:t>
      </w:r>
      <w:r w:rsidR="008160BA" w:rsidRPr="00426CC2">
        <w:t>,</w:t>
      </w:r>
      <w:r w:rsidR="000E2587" w:rsidRPr="00426CC2">
        <w:t xml:space="preserve"> </w:t>
      </w:r>
      <w:sdt>
        <w:sdtPr>
          <w:id w:val="2094653895"/>
          <w:citation/>
        </w:sdtPr>
        <w:sdtContent>
          <w:r w:rsidR="000E2587" w:rsidRPr="00426CC2">
            <w:fldChar w:fldCharType="begin"/>
          </w:r>
          <w:r w:rsidR="000E2587" w:rsidRPr="00426CC2">
            <w:instrText xml:space="preserve"> CITATION Gem22 \l 1043 </w:instrText>
          </w:r>
          <w:r w:rsidR="000E2587" w:rsidRPr="00426CC2">
            <w:fldChar w:fldCharType="separate"/>
          </w:r>
          <w:r w:rsidR="000E2587" w:rsidRPr="00426CC2">
            <w:t>(Gemeente Breda, 2022)</w:t>
          </w:r>
          <w:r w:rsidR="000E2587" w:rsidRPr="00426CC2">
            <w:fldChar w:fldCharType="end"/>
          </w:r>
        </w:sdtContent>
      </w:sdt>
      <w:r w:rsidR="000E2587" w:rsidRPr="00426CC2">
        <w:t xml:space="preserve"> en dit loopt ook in lijn met de gemiddelde score die de stad ontvangt per categorie met een gemiddeld rapport van 7.7 in </w:t>
      </w:r>
      <w:r w:rsidR="008160BA" w:rsidRPr="00426CC2">
        <w:t xml:space="preserve">2019 </w:t>
      </w:r>
      <w:sdt>
        <w:sdtPr>
          <w:id w:val="-674891212"/>
          <w:citation/>
        </w:sdtPr>
        <w:sdtContent>
          <w:r w:rsidR="008160BA" w:rsidRPr="00426CC2">
            <w:fldChar w:fldCharType="begin"/>
          </w:r>
          <w:r w:rsidR="008160BA" w:rsidRPr="00426CC2">
            <w:instrText xml:space="preserve"> CITATION ior20 \l 1043 </w:instrText>
          </w:r>
          <w:r w:rsidR="008160BA" w:rsidRPr="00426CC2">
            <w:fldChar w:fldCharType="separate"/>
          </w:r>
          <w:r w:rsidR="008160BA" w:rsidRPr="00426CC2">
            <w:t xml:space="preserve"> (i&amp;o research, 2020)</w:t>
          </w:r>
          <w:r w:rsidR="008160BA" w:rsidRPr="00426CC2">
            <w:fldChar w:fldCharType="end"/>
          </w:r>
        </w:sdtContent>
      </w:sdt>
      <w:r w:rsidR="008160BA" w:rsidRPr="00426CC2">
        <w:t xml:space="preserve">. Waardoor </w:t>
      </w:r>
      <w:r w:rsidR="00235856" w:rsidRPr="00426CC2">
        <w:t>is dit cijfer een ruim voldoende en trekt deze trend ook door naar de binnenstad van Breda?</w:t>
      </w:r>
    </w:p>
    <w:p w14:paraId="136BA179" w14:textId="49F4DAE3" w:rsidR="008160BA" w:rsidRPr="00426CC2" w:rsidRDefault="008160BA" w:rsidP="008160BA">
      <w:pPr>
        <w:pStyle w:val="Kop3"/>
      </w:pPr>
      <w:r w:rsidRPr="00426CC2">
        <w:t>2.1 Binnenstad</w:t>
      </w:r>
    </w:p>
    <w:tbl>
      <w:tblPr>
        <w:tblStyle w:val="Style1"/>
        <w:tblpPr w:leftFromText="180" w:rightFromText="180" w:vertAnchor="text" w:horzAnchor="margin" w:tblpXSpec="right" w:tblpY="84"/>
        <w:tblW w:w="0" w:type="auto"/>
        <w:tblLook w:val="04A0" w:firstRow="1" w:lastRow="0" w:firstColumn="1" w:lastColumn="0" w:noHBand="0" w:noVBand="1"/>
      </w:tblPr>
      <w:tblGrid>
        <w:gridCol w:w="3008"/>
        <w:gridCol w:w="721"/>
      </w:tblGrid>
      <w:tr w:rsidR="0062254D" w:rsidRPr="00426CC2" w14:paraId="270CD204" w14:textId="77777777" w:rsidTr="0062254D">
        <w:trPr>
          <w:cnfStyle w:val="100000000000" w:firstRow="1" w:lastRow="0" w:firstColumn="0" w:lastColumn="0" w:oddVBand="0" w:evenVBand="0" w:oddHBand="0" w:evenHBand="0" w:firstRowFirstColumn="0" w:firstRowLastColumn="0" w:lastRowFirstColumn="0" w:lastRowLastColumn="0"/>
          <w:trHeight w:val="293"/>
        </w:trPr>
        <w:tc>
          <w:tcPr>
            <w:tcW w:w="3008" w:type="dxa"/>
          </w:tcPr>
          <w:p w14:paraId="3F1A3C06" w14:textId="77777777" w:rsidR="0062254D" w:rsidRPr="00426CC2" w:rsidRDefault="0062254D" w:rsidP="0062254D">
            <w:r w:rsidRPr="00426CC2">
              <w:t>Label</w:t>
            </w:r>
          </w:p>
        </w:tc>
        <w:tc>
          <w:tcPr>
            <w:tcW w:w="721" w:type="dxa"/>
          </w:tcPr>
          <w:p w14:paraId="6C7D8965" w14:textId="07C4E4D5" w:rsidR="0062254D" w:rsidRPr="00426CC2" w:rsidRDefault="0062254D" w:rsidP="0062254D">
            <w:pPr>
              <w:rPr>
                <w:color w:val="000000" w:themeColor="text1"/>
              </w:rPr>
            </w:pPr>
            <w:r w:rsidRPr="00426CC2">
              <w:t>Score</w:t>
            </w:r>
          </w:p>
        </w:tc>
      </w:tr>
      <w:tr w:rsidR="0062254D" w:rsidRPr="00426CC2" w14:paraId="379299C2" w14:textId="77777777" w:rsidTr="0062254D">
        <w:trPr>
          <w:cnfStyle w:val="000000100000" w:firstRow="0" w:lastRow="0" w:firstColumn="0" w:lastColumn="0" w:oddVBand="0" w:evenVBand="0" w:oddHBand="1" w:evenHBand="0" w:firstRowFirstColumn="0" w:firstRowLastColumn="0" w:lastRowFirstColumn="0" w:lastRowLastColumn="0"/>
          <w:trHeight w:val="293"/>
        </w:trPr>
        <w:tc>
          <w:tcPr>
            <w:tcW w:w="3008" w:type="dxa"/>
          </w:tcPr>
          <w:p w14:paraId="31E1B3B4" w14:textId="77777777" w:rsidR="0062254D" w:rsidRPr="00426CC2" w:rsidRDefault="0062254D" w:rsidP="0062254D">
            <w:pPr>
              <w:rPr>
                <w:color w:val="000000" w:themeColor="text1"/>
              </w:rPr>
            </w:pPr>
            <w:r w:rsidRPr="00426CC2">
              <w:rPr>
                <w:color w:val="000000" w:themeColor="text1"/>
              </w:rPr>
              <w:t>Bereikbaarheid te voet</w:t>
            </w:r>
          </w:p>
        </w:tc>
        <w:tc>
          <w:tcPr>
            <w:tcW w:w="721" w:type="dxa"/>
          </w:tcPr>
          <w:p w14:paraId="3AB7C879" w14:textId="77777777" w:rsidR="0062254D" w:rsidRPr="00426CC2" w:rsidRDefault="0062254D" w:rsidP="0062254D">
            <w:pPr>
              <w:rPr>
                <w:color w:val="000000" w:themeColor="text1"/>
              </w:rPr>
            </w:pPr>
            <w:r w:rsidRPr="00426CC2">
              <w:rPr>
                <w:color w:val="000000" w:themeColor="text1"/>
              </w:rPr>
              <w:t>8.6</w:t>
            </w:r>
          </w:p>
        </w:tc>
      </w:tr>
      <w:tr w:rsidR="0062254D" w:rsidRPr="00426CC2" w14:paraId="5333D36A" w14:textId="77777777" w:rsidTr="0062254D">
        <w:trPr>
          <w:trHeight w:val="293"/>
        </w:trPr>
        <w:tc>
          <w:tcPr>
            <w:tcW w:w="3008" w:type="dxa"/>
          </w:tcPr>
          <w:p w14:paraId="0E216C1D" w14:textId="77777777" w:rsidR="0062254D" w:rsidRPr="00426CC2" w:rsidRDefault="0062254D" w:rsidP="0062254D">
            <w:pPr>
              <w:rPr>
                <w:color w:val="000000" w:themeColor="text1"/>
              </w:rPr>
            </w:pPr>
            <w:r w:rsidRPr="00426CC2">
              <w:rPr>
                <w:color w:val="000000" w:themeColor="text1"/>
              </w:rPr>
              <w:t>Bereikbaarheid per fiets</w:t>
            </w:r>
          </w:p>
        </w:tc>
        <w:tc>
          <w:tcPr>
            <w:tcW w:w="721" w:type="dxa"/>
          </w:tcPr>
          <w:p w14:paraId="333D56B3" w14:textId="77777777" w:rsidR="0062254D" w:rsidRPr="00426CC2" w:rsidRDefault="0062254D" w:rsidP="0062254D">
            <w:pPr>
              <w:rPr>
                <w:color w:val="000000" w:themeColor="text1"/>
              </w:rPr>
            </w:pPr>
            <w:r w:rsidRPr="00426CC2">
              <w:rPr>
                <w:color w:val="000000" w:themeColor="text1"/>
              </w:rPr>
              <w:t>9.6</w:t>
            </w:r>
          </w:p>
        </w:tc>
      </w:tr>
      <w:tr w:rsidR="0062254D" w:rsidRPr="00426CC2" w14:paraId="7A5A3278" w14:textId="77777777" w:rsidTr="0062254D">
        <w:trPr>
          <w:cnfStyle w:val="000000100000" w:firstRow="0" w:lastRow="0" w:firstColumn="0" w:lastColumn="0" w:oddVBand="0" w:evenVBand="0" w:oddHBand="1" w:evenHBand="0" w:firstRowFirstColumn="0" w:firstRowLastColumn="0" w:lastRowFirstColumn="0" w:lastRowLastColumn="0"/>
          <w:trHeight w:val="293"/>
        </w:trPr>
        <w:tc>
          <w:tcPr>
            <w:tcW w:w="3008" w:type="dxa"/>
          </w:tcPr>
          <w:p w14:paraId="064260CE" w14:textId="77777777" w:rsidR="0062254D" w:rsidRPr="00426CC2" w:rsidRDefault="0062254D" w:rsidP="0062254D">
            <w:pPr>
              <w:rPr>
                <w:color w:val="000000" w:themeColor="text1"/>
              </w:rPr>
            </w:pPr>
            <w:r w:rsidRPr="00426CC2">
              <w:rPr>
                <w:color w:val="000000" w:themeColor="text1"/>
              </w:rPr>
              <w:t>Bereikbaarheid met ov</w:t>
            </w:r>
          </w:p>
        </w:tc>
        <w:tc>
          <w:tcPr>
            <w:tcW w:w="721" w:type="dxa"/>
          </w:tcPr>
          <w:p w14:paraId="3B886367" w14:textId="77777777" w:rsidR="0062254D" w:rsidRPr="00426CC2" w:rsidRDefault="0062254D" w:rsidP="0062254D">
            <w:pPr>
              <w:rPr>
                <w:color w:val="000000" w:themeColor="text1"/>
              </w:rPr>
            </w:pPr>
            <w:r w:rsidRPr="00426CC2">
              <w:rPr>
                <w:color w:val="000000" w:themeColor="text1"/>
              </w:rPr>
              <w:t>8.0</w:t>
            </w:r>
          </w:p>
        </w:tc>
      </w:tr>
      <w:tr w:rsidR="0062254D" w:rsidRPr="00426CC2" w14:paraId="6BB62765" w14:textId="77777777" w:rsidTr="0062254D">
        <w:trPr>
          <w:trHeight w:val="293"/>
        </w:trPr>
        <w:tc>
          <w:tcPr>
            <w:tcW w:w="3008" w:type="dxa"/>
          </w:tcPr>
          <w:p w14:paraId="714F0D71" w14:textId="77777777" w:rsidR="0062254D" w:rsidRPr="00426CC2" w:rsidRDefault="0062254D" w:rsidP="0062254D">
            <w:pPr>
              <w:rPr>
                <w:color w:val="000000" w:themeColor="text1"/>
              </w:rPr>
            </w:pPr>
            <w:r w:rsidRPr="00426CC2">
              <w:rPr>
                <w:color w:val="000000" w:themeColor="text1"/>
              </w:rPr>
              <w:t>Bereikbaarheid per auto</w:t>
            </w:r>
          </w:p>
        </w:tc>
        <w:tc>
          <w:tcPr>
            <w:tcW w:w="721" w:type="dxa"/>
          </w:tcPr>
          <w:p w14:paraId="00C39EF7" w14:textId="77777777" w:rsidR="0062254D" w:rsidRPr="00426CC2" w:rsidRDefault="0062254D" w:rsidP="0062254D">
            <w:pPr>
              <w:rPr>
                <w:color w:val="000000" w:themeColor="text1"/>
              </w:rPr>
            </w:pPr>
            <w:r w:rsidRPr="00426CC2">
              <w:rPr>
                <w:color w:val="000000" w:themeColor="text1"/>
              </w:rPr>
              <w:t>6.7</w:t>
            </w:r>
          </w:p>
        </w:tc>
      </w:tr>
      <w:tr w:rsidR="0062254D" w:rsidRPr="00426CC2" w14:paraId="08817D4D" w14:textId="77777777" w:rsidTr="0062254D">
        <w:trPr>
          <w:cnfStyle w:val="000000100000" w:firstRow="0" w:lastRow="0" w:firstColumn="0" w:lastColumn="0" w:oddVBand="0" w:evenVBand="0" w:oddHBand="1" w:evenHBand="0" w:firstRowFirstColumn="0" w:firstRowLastColumn="0" w:lastRowFirstColumn="0" w:lastRowLastColumn="0"/>
          <w:trHeight w:val="277"/>
        </w:trPr>
        <w:tc>
          <w:tcPr>
            <w:tcW w:w="3008" w:type="dxa"/>
          </w:tcPr>
          <w:p w14:paraId="46123A57" w14:textId="77777777" w:rsidR="0062254D" w:rsidRPr="00426CC2" w:rsidRDefault="0062254D" w:rsidP="0062254D">
            <w:pPr>
              <w:rPr>
                <w:color w:val="000000" w:themeColor="text1"/>
              </w:rPr>
            </w:pPr>
            <w:r w:rsidRPr="00426CC2">
              <w:rPr>
                <w:color w:val="000000" w:themeColor="text1"/>
              </w:rPr>
              <w:t>Parkeermogelijkheden fiets</w:t>
            </w:r>
          </w:p>
        </w:tc>
        <w:tc>
          <w:tcPr>
            <w:tcW w:w="721" w:type="dxa"/>
          </w:tcPr>
          <w:p w14:paraId="4454E928" w14:textId="77777777" w:rsidR="0062254D" w:rsidRPr="00426CC2" w:rsidRDefault="0062254D" w:rsidP="0062254D">
            <w:pPr>
              <w:rPr>
                <w:color w:val="000000" w:themeColor="text1"/>
              </w:rPr>
            </w:pPr>
            <w:r w:rsidRPr="00426CC2">
              <w:rPr>
                <w:color w:val="000000" w:themeColor="text1"/>
              </w:rPr>
              <w:t>8.0</w:t>
            </w:r>
          </w:p>
        </w:tc>
      </w:tr>
      <w:tr w:rsidR="0062254D" w:rsidRPr="00426CC2" w14:paraId="70A79640" w14:textId="77777777" w:rsidTr="0062254D">
        <w:trPr>
          <w:trHeight w:val="293"/>
        </w:trPr>
        <w:tc>
          <w:tcPr>
            <w:tcW w:w="3008" w:type="dxa"/>
          </w:tcPr>
          <w:p w14:paraId="6AB09750" w14:textId="77777777" w:rsidR="0062254D" w:rsidRPr="00426CC2" w:rsidRDefault="0062254D" w:rsidP="0062254D">
            <w:pPr>
              <w:rPr>
                <w:color w:val="000000" w:themeColor="text1"/>
              </w:rPr>
            </w:pPr>
            <w:r w:rsidRPr="00426CC2">
              <w:rPr>
                <w:color w:val="000000" w:themeColor="text1"/>
              </w:rPr>
              <w:t>Parkeermogelijkheden auto</w:t>
            </w:r>
          </w:p>
        </w:tc>
        <w:tc>
          <w:tcPr>
            <w:tcW w:w="721" w:type="dxa"/>
          </w:tcPr>
          <w:p w14:paraId="13A9B593" w14:textId="77777777" w:rsidR="0062254D" w:rsidRPr="00426CC2" w:rsidRDefault="0062254D" w:rsidP="0062254D">
            <w:pPr>
              <w:rPr>
                <w:color w:val="000000" w:themeColor="text1"/>
              </w:rPr>
            </w:pPr>
            <w:r w:rsidRPr="00426CC2">
              <w:rPr>
                <w:color w:val="000000" w:themeColor="text1"/>
              </w:rPr>
              <w:t>6.7</w:t>
            </w:r>
          </w:p>
        </w:tc>
      </w:tr>
    </w:tbl>
    <w:p w14:paraId="391FCA39" w14:textId="353F0119" w:rsidR="00126E2D" w:rsidRPr="00426CC2" w:rsidRDefault="00126E2D" w:rsidP="008160BA">
      <w:r w:rsidRPr="00426CC2">
        <w:t xml:space="preserve">De </w:t>
      </w:r>
      <w:proofErr w:type="spellStart"/>
      <w:r w:rsidRPr="00426CC2">
        <w:t>de</w:t>
      </w:r>
      <w:proofErr w:type="spellEnd"/>
      <w:r w:rsidRPr="00426CC2">
        <w:t xml:space="preserve"> binnenstad van Breda score afgelopen jaar een gemiddelde score van 7.9, maar binnen dit gemiddelde zijn een aantal verschillende statements te halen. Als we kijken naar de bereikbaarheid binnen het gemiddelde score lopen de scores uit één.</w:t>
      </w:r>
      <w:r w:rsidR="0062254D" w:rsidRPr="00426CC2">
        <w:t xml:space="preserve"> Over het algemeen wordt bereikbaarheid met auto laag</w:t>
      </w:r>
      <w:r w:rsidR="00836CB8" w:rsidRPr="00426CC2">
        <w:t xml:space="preserve"> </w:t>
      </w:r>
      <w:r w:rsidR="00426CC2" w:rsidRPr="00426CC2">
        <w:t>gescoord</w:t>
      </w:r>
      <w:r w:rsidR="00836CB8" w:rsidRPr="00426CC2">
        <w:t xml:space="preserve">. De afgelopen jaren heeft Breda auto’s uit de binnenstad </w:t>
      </w:r>
      <w:r w:rsidR="00426CC2" w:rsidRPr="00426CC2">
        <w:t>gehaald</w:t>
      </w:r>
      <w:r w:rsidR="00836CB8" w:rsidRPr="00426CC2">
        <w:t xml:space="preserve"> en parkeergelegenheden erom heen gebouwd dit in </w:t>
      </w:r>
      <w:r w:rsidR="00836CB8" w:rsidRPr="00426CC2">
        <w:lastRenderedPageBreak/>
        <w:t xml:space="preserve">combinatie met de gemeente actief lopen meer de adverteren in verschillende looproutes, verkleining van wegen in de binnenstad en het installeren van meer </w:t>
      </w:r>
      <w:r w:rsidR="00426CC2" w:rsidRPr="00426CC2">
        <w:t>bushaltes</w:t>
      </w:r>
      <w:r w:rsidR="00836CB8" w:rsidRPr="00426CC2">
        <w:t xml:space="preserve"> heeft ervoor gezorgd dat </w:t>
      </w:r>
      <w:r w:rsidR="00426CC2" w:rsidRPr="00426CC2">
        <w:t>langzaam</w:t>
      </w:r>
      <w:r w:rsidR="002D3F90" w:rsidRPr="00426CC2">
        <w:t xml:space="preserve">, voetgangers en </w:t>
      </w:r>
      <w:r w:rsidR="00426CC2" w:rsidRPr="00426CC2">
        <w:t>ov-gebruikers</w:t>
      </w:r>
      <w:r w:rsidR="002D3F90" w:rsidRPr="00426CC2">
        <w:t xml:space="preserve"> gestegen is van 19% in 2019 naar 24% in 2021.</w:t>
      </w:r>
    </w:p>
    <w:p w14:paraId="60A8B905" w14:textId="40FCD92B" w:rsidR="002D3F90" w:rsidRPr="00426CC2" w:rsidRDefault="002D3F90" w:rsidP="002D3F90">
      <w:pPr>
        <w:pStyle w:val="Kop3"/>
      </w:pPr>
      <w:r w:rsidRPr="00426CC2">
        <w:t>2.1.2 Redenen</w:t>
      </w:r>
    </w:p>
    <w:p w14:paraId="01EA4AEA" w14:textId="4826AC9D" w:rsidR="002D3F90" w:rsidRPr="00426CC2" w:rsidRDefault="00E00FFC" w:rsidP="002D3F90">
      <w:r w:rsidRPr="00426CC2">
        <w:t xml:space="preserve">In de afgelopen 3 jaar is de top 3 redenen om de binnenstad van Breda te bezoeken niet veranderd. In volgorde: Gericht inkopen, Horeca en recreatief winkelen. In 2020 was er een sterke daling in recreatief winkelen, maar volgens de </w:t>
      </w:r>
      <w:r w:rsidR="00426CC2" w:rsidRPr="00426CC2">
        <w:t>enquête</w:t>
      </w:r>
      <w:r w:rsidRPr="00426CC2">
        <w:t xml:space="preserve"> was dit in samenhang met de </w:t>
      </w:r>
      <w:r w:rsidR="00426CC2">
        <w:t>covid-19 pandemie</w:t>
      </w:r>
      <w:r w:rsidRPr="00426CC2">
        <w:t xml:space="preserve">. Op dezelfde lijn wanneer bezoekers andere </w:t>
      </w:r>
      <w:r w:rsidR="00426CC2" w:rsidRPr="00426CC2">
        <w:t>binnensteden</w:t>
      </w:r>
      <w:r w:rsidRPr="00426CC2">
        <w:t xml:space="preserve"> bezoeken, geeft de meer</w:t>
      </w:r>
      <w:r w:rsidR="00426CC2">
        <w:t>der</w:t>
      </w:r>
      <w:r w:rsidRPr="00426CC2">
        <w:t>heid aan dat zij dit doen om recreatief te winkelen</w:t>
      </w:r>
      <w:r w:rsidR="003E5AEB" w:rsidRPr="00426CC2">
        <w:t xml:space="preserve">. </w:t>
      </w:r>
    </w:p>
    <w:p w14:paraId="091AF837" w14:textId="6B2A7CF0" w:rsidR="003E5AEB" w:rsidRPr="00426CC2" w:rsidRDefault="003E5AEB" w:rsidP="003E5AEB">
      <w:pPr>
        <w:pStyle w:val="Kop3"/>
      </w:pPr>
      <w:r w:rsidRPr="00426CC2">
        <w:t>2.1.3 Regelmaat</w:t>
      </w:r>
    </w:p>
    <w:p w14:paraId="5807E99D" w14:textId="586BB3A4" w:rsidR="003E5AEB" w:rsidRPr="00426CC2" w:rsidRDefault="003E5AEB" w:rsidP="003E5AEB">
      <w:r w:rsidRPr="00426CC2">
        <w:t xml:space="preserve">Bijna 91% van </w:t>
      </w:r>
      <w:r w:rsidR="00426CC2" w:rsidRPr="00426CC2">
        <w:t>correspondenten</w:t>
      </w:r>
      <w:r w:rsidRPr="00426CC2">
        <w:t xml:space="preserve"> van de gaven aan dat zij ooit de binnenstad bezochten. Van deze 91% bezocht 10% dagelijks de binnenstad met 32% wekelijks en 36% maandelijks. De vervolg vraag hierop was of zij vaker of minder vaak de stad bezochten het afgelopen jaar. Hierin bijna 60% aan minder vaak de binnenstad te hebben bezocht dan in voorgaande jaren.</w:t>
      </w:r>
    </w:p>
    <w:p w14:paraId="68FB8D8D" w14:textId="5E6FB4FA" w:rsidR="003E5AEB" w:rsidRPr="00426CC2" w:rsidRDefault="003E5AEB" w:rsidP="003E5AEB">
      <w:pPr>
        <w:pStyle w:val="Kop3"/>
      </w:pPr>
      <w:r w:rsidRPr="00426CC2">
        <w:t>2.1.4 Tevredenheid</w:t>
      </w:r>
    </w:p>
    <w:p w14:paraId="41BBE9D8" w14:textId="6028D8D2" w:rsidR="00C564FC" w:rsidRPr="00426CC2" w:rsidRDefault="00C564FC" w:rsidP="003E5AEB">
      <w:r w:rsidRPr="00426CC2">
        <w:t>Als we kijken naar het aanbod en de tevredenheid daarvan kunnen we zien dat over het algemeen de horeca zowel in aanbod als toegankelijkheid hoog scoren.</w:t>
      </w:r>
      <w:r w:rsidR="00D66446" w:rsidRPr="00426CC2">
        <w:t xml:space="preserve"> Hoewel winkels hoger score in toegankelijkheid de andere </w:t>
      </w:r>
      <w:r w:rsidR="00426CC2" w:rsidRPr="00426CC2">
        <w:t>categorieën</w:t>
      </w:r>
      <w:r w:rsidR="00D66446" w:rsidRPr="00426CC2">
        <w:t xml:space="preserve"> wordt er niet hoger </w:t>
      </w:r>
      <w:r w:rsidR="00426CC2" w:rsidRPr="00426CC2">
        <w:t>gescoor</w:t>
      </w:r>
      <w:r w:rsidR="00426CC2">
        <w:t xml:space="preserve">d </w:t>
      </w:r>
      <w:r w:rsidR="00D66446" w:rsidRPr="00426CC2">
        <w:t xml:space="preserve">dan een 7.3. Toch worden alle </w:t>
      </w:r>
      <w:r w:rsidR="00426CC2" w:rsidRPr="00426CC2">
        <w:t>categorieën</w:t>
      </w:r>
      <w:r w:rsidR="00D66446" w:rsidRPr="00426CC2">
        <w:t xml:space="preserve"> als tevreden beschouwd.</w:t>
      </w:r>
    </w:p>
    <w:tbl>
      <w:tblPr>
        <w:tblStyle w:val="Style1"/>
        <w:tblW w:w="0" w:type="auto"/>
        <w:tblLook w:val="04A0" w:firstRow="1" w:lastRow="0" w:firstColumn="1" w:lastColumn="0" w:noHBand="0" w:noVBand="1"/>
      </w:tblPr>
      <w:tblGrid>
        <w:gridCol w:w="8217"/>
        <w:gridCol w:w="799"/>
      </w:tblGrid>
      <w:tr w:rsidR="00C564FC" w:rsidRPr="00426CC2" w14:paraId="28C7135C" w14:textId="77777777" w:rsidTr="00C564FC">
        <w:trPr>
          <w:cnfStyle w:val="100000000000" w:firstRow="1" w:lastRow="0" w:firstColumn="0" w:lastColumn="0" w:oddVBand="0" w:evenVBand="0" w:oddHBand="0" w:evenHBand="0" w:firstRowFirstColumn="0" w:firstRowLastColumn="0" w:lastRowFirstColumn="0" w:lastRowLastColumn="0"/>
        </w:trPr>
        <w:tc>
          <w:tcPr>
            <w:tcW w:w="8217" w:type="dxa"/>
          </w:tcPr>
          <w:p w14:paraId="7B35D860" w14:textId="01AD8D77" w:rsidR="00C564FC" w:rsidRPr="00426CC2" w:rsidRDefault="00C564FC" w:rsidP="003E5AEB">
            <w:r w:rsidRPr="00426CC2">
              <w:t>Label</w:t>
            </w:r>
          </w:p>
        </w:tc>
        <w:tc>
          <w:tcPr>
            <w:tcW w:w="799" w:type="dxa"/>
          </w:tcPr>
          <w:p w14:paraId="5BBACFE9" w14:textId="0B4DA11F" w:rsidR="00C564FC" w:rsidRPr="00426CC2" w:rsidRDefault="00C564FC" w:rsidP="003E5AEB">
            <w:r w:rsidRPr="00426CC2">
              <w:t>Score</w:t>
            </w:r>
          </w:p>
        </w:tc>
      </w:tr>
      <w:tr w:rsidR="00C564FC" w:rsidRPr="00426CC2" w14:paraId="29817C87" w14:textId="77777777" w:rsidTr="00C564FC">
        <w:trPr>
          <w:cnfStyle w:val="000000100000" w:firstRow="0" w:lastRow="0" w:firstColumn="0" w:lastColumn="0" w:oddVBand="0" w:evenVBand="0" w:oddHBand="1" w:evenHBand="0" w:firstRowFirstColumn="0" w:firstRowLastColumn="0" w:lastRowFirstColumn="0" w:lastRowLastColumn="0"/>
        </w:trPr>
        <w:tc>
          <w:tcPr>
            <w:tcW w:w="8217" w:type="dxa"/>
          </w:tcPr>
          <w:p w14:paraId="783E719B" w14:textId="2258A7E0" w:rsidR="00C564FC" w:rsidRPr="00426CC2" w:rsidRDefault="00C564FC" w:rsidP="003E5AEB">
            <w:r w:rsidRPr="00426CC2">
              <w:t>Aa</w:t>
            </w:r>
            <w:r w:rsidR="009B2CB0">
              <w:t>n</w:t>
            </w:r>
            <w:r w:rsidRPr="00426CC2">
              <w:t>bod cafés</w:t>
            </w:r>
          </w:p>
        </w:tc>
        <w:tc>
          <w:tcPr>
            <w:tcW w:w="799" w:type="dxa"/>
          </w:tcPr>
          <w:p w14:paraId="0E994890" w14:textId="0B8BDDCD" w:rsidR="00C564FC" w:rsidRPr="00426CC2" w:rsidRDefault="00C564FC" w:rsidP="003E5AEB">
            <w:r w:rsidRPr="00426CC2">
              <w:t>8.0</w:t>
            </w:r>
          </w:p>
        </w:tc>
      </w:tr>
      <w:tr w:rsidR="00C564FC" w:rsidRPr="00426CC2" w14:paraId="11357D05" w14:textId="77777777" w:rsidTr="00C564FC">
        <w:tc>
          <w:tcPr>
            <w:tcW w:w="8217" w:type="dxa"/>
          </w:tcPr>
          <w:p w14:paraId="67931411" w14:textId="531E7444" w:rsidR="00C564FC" w:rsidRPr="00426CC2" w:rsidRDefault="00C564FC" w:rsidP="003E5AEB">
            <w:r w:rsidRPr="00426CC2">
              <w:t>Aanbod restaurants</w:t>
            </w:r>
          </w:p>
        </w:tc>
        <w:tc>
          <w:tcPr>
            <w:tcW w:w="799" w:type="dxa"/>
          </w:tcPr>
          <w:p w14:paraId="1075C5E4" w14:textId="59555470" w:rsidR="00C564FC" w:rsidRPr="00426CC2" w:rsidRDefault="00C564FC" w:rsidP="003E5AEB">
            <w:r w:rsidRPr="00426CC2">
              <w:t>7.9</w:t>
            </w:r>
          </w:p>
        </w:tc>
      </w:tr>
      <w:tr w:rsidR="00C564FC" w:rsidRPr="00426CC2" w14:paraId="2C04AD3B" w14:textId="77777777" w:rsidTr="00C564FC">
        <w:trPr>
          <w:cnfStyle w:val="000000100000" w:firstRow="0" w:lastRow="0" w:firstColumn="0" w:lastColumn="0" w:oddVBand="0" w:evenVBand="0" w:oddHBand="1" w:evenHBand="0" w:firstRowFirstColumn="0" w:firstRowLastColumn="0" w:lastRowFirstColumn="0" w:lastRowLastColumn="0"/>
        </w:trPr>
        <w:tc>
          <w:tcPr>
            <w:tcW w:w="8217" w:type="dxa"/>
          </w:tcPr>
          <w:p w14:paraId="4C09DD57" w14:textId="1879BD25" w:rsidR="00C564FC" w:rsidRPr="00426CC2" w:rsidRDefault="00C564FC" w:rsidP="003E5AEB">
            <w:r w:rsidRPr="00426CC2">
              <w:t>Aanbod winkels</w:t>
            </w:r>
          </w:p>
        </w:tc>
        <w:tc>
          <w:tcPr>
            <w:tcW w:w="799" w:type="dxa"/>
          </w:tcPr>
          <w:p w14:paraId="317D391C" w14:textId="53C89743" w:rsidR="00C564FC" w:rsidRPr="00426CC2" w:rsidRDefault="00C564FC" w:rsidP="003E5AEB">
            <w:r w:rsidRPr="00426CC2">
              <w:t>7.0</w:t>
            </w:r>
          </w:p>
        </w:tc>
      </w:tr>
      <w:tr w:rsidR="00C564FC" w:rsidRPr="00426CC2" w14:paraId="3BD5A321" w14:textId="77777777" w:rsidTr="00C564FC">
        <w:tc>
          <w:tcPr>
            <w:tcW w:w="8217" w:type="dxa"/>
          </w:tcPr>
          <w:p w14:paraId="4A7683E7" w14:textId="191DA035" w:rsidR="00C564FC" w:rsidRPr="00426CC2" w:rsidRDefault="00C564FC" w:rsidP="003E5AEB">
            <w:r w:rsidRPr="00426CC2">
              <w:t>Toegankelijkheid cafés</w:t>
            </w:r>
          </w:p>
        </w:tc>
        <w:tc>
          <w:tcPr>
            <w:tcW w:w="799" w:type="dxa"/>
          </w:tcPr>
          <w:p w14:paraId="3FAF1C18" w14:textId="1E58CE58" w:rsidR="00C564FC" w:rsidRPr="00426CC2" w:rsidRDefault="00C564FC" w:rsidP="003E5AEB">
            <w:r w:rsidRPr="00426CC2">
              <w:t>7.5</w:t>
            </w:r>
          </w:p>
        </w:tc>
      </w:tr>
      <w:tr w:rsidR="00C564FC" w:rsidRPr="00426CC2" w14:paraId="124528C4" w14:textId="77777777" w:rsidTr="00C564FC">
        <w:trPr>
          <w:cnfStyle w:val="000000100000" w:firstRow="0" w:lastRow="0" w:firstColumn="0" w:lastColumn="0" w:oddVBand="0" w:evenVBand="0" w:oddHBand="1" w:evenHBand="0" w:firstRowFirstColumn="0" w:firstRowLastColumn="0" w:lastRowFirstColumn="0" w:lastRowLastColumn="0"/>
        </w:trPr>
        <w:tc>
          <w:tcPr>
            <w:tcW w:w="8217" w:type="dxa"/>
          </w:tcPr>
          <w:p w14:paraId="0DDFFDBC" w14:textId="5CEA50AC" w:rsidR="00C564FC" w:rsidRPr="00426CC2" w:rsidRDefault="00C564FC" w:rsidP="003E5AEB">
            <w:r w:rsidRPr="00426CC2">
              <w:t>Toegankelijkheid restaurants</w:t>
            </w:r>
          </w:p>
        </w:tc>
        <w:tc>
          <w:tcPr>
            <w:tcW w:w="799" w:type="dxa"/>
          </w:tcPr>
          <w:p w14:paraId="6515D97B" w14:textId="57936B93" w:rsidR="00C564FC" w:rsidRPr="00426CC2" w:rsidRDefault="00C564FC" w:rsidP="003E5AEB">
            <w:r w:rsidRPr="00426CC2">
              <w:t>7.5</w:t>
            </w:r>
          </w:p>
        </w:tc>
      </w:tr>
      <w:tr w:rsidR="00C564FC" w:rsidRPr="00426CC2" w14:paraId="3CC07DA3" w14:textId="77777777" w:rsidTr="00C564FC">
        <w:tc>
          <w:tcPr>
            <w:tcW w:w="8217" w:type="dxa"/>
          </w:tcPr>
          <w:p w14:paraId="02399BF5" w14:textId="0D6BB2CF" w:rsidR="00C564FC" w:rsidRPr="00426CC2" w:rsidRDefault="00C564FC" w:rsidP="00C564FC">
            <w:r w:rsidRPr="00426CC2">
              <w:t>Toegankelijkheid winkels</w:t>
            </w:r>
          </w:p>
        </w:tc>
        <w:tc>
          <w:tcPr>
            <w:tcW w:w="799" w:type="dxa"/>
          </w:tcPr>
          <w:p w14:paraId="7720B4AE" w14:textId="1FB20FC3" w:rsidR="00C564FC" w:rsidRPr="00426CC2" w:rsidRDefault="00C564FC" w:rsidP="00C564FC">
            <w:r w:rsidRPr="00426CC2">
              <w:t>7.7</w:t>
            </w:r>
          </w:p>
        </w:tc>
      </w:tr>
      <w:tr w:rsidR="00C564FC" w:rsidRPr="00426CC2" w14:paraId="21FAF308" w14:textId="77777777" w:rsidTr="00C564FC">
        <w:trPr>
          <w:cnfStyle w:val="000000100000" w:firstRow="0" w:lastRow="0" w:firstColumn="0" w:lastColumn="0" w:oddVBand="0" w:evenVBand="0" w:oddHBand="1" w:evenHBand="0" w:firstRowFirstColumn="0" w:firstRowLastColumn="0" w:lastRowFirstColumn="0" w:lastRowLastColumn="0"/>
        </w:trPr>
        <w:tc>
          <w:tcPr>
            <w:tcW w:w="8217" w:type="dxa"/>
          </w:tcPr>
          <w:p w14:paraId="1F2A5F34" w14:textId="713A79E1" w:rsidR="00C564FC" w:rsidRPr="00426CC2" w:rsidRDefault="00C564FC" w:rsidP="00C564FC">
            <w:r w:rsidRPr="00426CC2">
              <w:t>Variatie in winkels</w:t>
            </w:r>
          </w:p>
        </w:tc>
        <w:tc>
          <w:tcPr>
            <w:tcW w:w="799" w:type="dxa"/>
          </w:tcPr>
          <w:p w14:paraId="37931E37" w14:textId="6113AD5F" w:rsidR="00C564FC" w:rsidRPr="00426CC2" w:rsidRDefault="00C564FC" w:rsidP="00C564FC">
            <w:r w:rsidRPr="00426CC2">
              <w:t>7.0</w:t>
            </w:r>
          </w:p>
        </w:tc>
      </w:tr>
      <w:tr w:rsidR="00C564FC" w:rsidRPr="00426CC2" w14:paraId="060DC7D4" w14:textId="77777777" w:rsidTr="00C564FC">
        <w:tc>
          <w:tcPr>
            <w:tcW w:w="8217" w:type="dxa"/>
          </w:tcPr>
          <w:p w14:paraId="3FA09B86" w14:textId="18D0CBB9" w:rsidR="00C564FC" w:rsidRPr="00426CC2" w:rsidRDefault="00C564FC" w:rsidP="00C564FC">
            <w:r w:rsidRPr="00426CC2">
              <w:t>Kwaliteit winkels</w:t>
            </w:r>
          </w:p>
        </w:tc>
        <w:tc>
          <w:tcPr>
            <w:tcW w:w="799" w:type="dxa"/>
          </w:tcPr>
          <w:p w14:paraId="0F7B3E32" w14:textId="18EE3819" w:rsidR="00C564FC" w:rsidRPr="00426CC2" w:rsidRDefault="00C564FC" w:rsidP="00C564FC">
            <w:r w:rsidRPr="00426CC2">
              <w:t>7.3</w:t>
            </w:r>
          </w:p>
        </w:tc>
      </w:tr>
    </w:tbl>
    <w:p w14:paraId="7E7ED447" w14:textId="3E2D08BA" w:rsidR="003E5AEB" w:rsidRDefault="003E5AEB" w:rsidP="003E5AEB"/>
    <w:p w14:paraId="60B4A4EE" w14:textId="33C585B4" w:rsidR="009B2CB0" w:rsidRDefault="009B2CB0" w:rsidP="009B2CB0">
      <w:pPr>
        <w:pStyle w:val="Kop2"/>
      </w:pPr>
      <w:r>
        <w:t>2.2 Leefbaarheid en Veiligheid</w:t>
      </w:r>
    </w:p>
    <w:p w14:paraId="46AA6CD2" w14:textId="77777777" w:rsidR="0024673D" w:rsidRDefault="00C45037" w:rsidP="00C45037">
      <w:pPr>
        <w:rPr>
          <w:rStyle w:val="Nadruk"/>
          <w:i w:val="0"/>
          <w:iCs w:val="0"/>
        </w:rPr>
      </w:pPr>
      <w:r>
        <w:t xml:space="preserve">Een groot overdeel van de </w:t>
      </w:r>
      <w:proofErr w:type="spellStart"/>
      <w:r w:rsidRPr="00C45037">
        <w:rPr>
          <w:rStyle w:val="Nadruk"/>
          <w:i w:val="0"/>
          <w:iCs w:val="0"/>
        </w:rPr>
        <w:t>Bredaëna</w:t>
      </w:r>
      <w:r>
        <w:rPr>
          <w:rStyle w:val="Nadruk"/>
          <w:i w:val="0"/>
          <w:iCs w:val="0"/>
        </w:rPr>
        <w:t>ren</w:t>
      </w:r>
      <w:proofErr w:type="spellEnd"/>
      <w:r>
        <w:rPr>
          <w:rStyle w:val="Nadruk"/>
          <w:i w:val="0"/>
          <w:iCs w:val="0"/>
        </w:rPr>
        <w:t xml:space="preserve"> 90% vindt de stad schoon</w:t>
      </w:r>
      <w:r w:rsidR="0024673D">
        <w:rPr>
          <w:rStyle w:val="Nadruk"/>
          <w:i w:val="0"/>
          <w:iCs w:val="0"/>
        </w:rPr>
        <w:t xml:space="preserve"> en veilig, maar er zijn grote verschillen in waar ze tevreden over zijn. In 2021 was 73% tevreden over de openbare ruimte in Breda, dit is een sterke afnamen van de 82% tevredenheid in 2019. Deze daling kan veroorzaakt zijn door de stijging in inwoners die zich onveilig voelen in parken (2019: 17%, 2021: 21%). In tegenstelling tot deze toename voelde een groot deel van burgers zich veilig in de binnenstad en winkelcentra van Breda 4 en 6% respectief.</w:t>
      </w:r>
    </w:p>
    <w:p w14:paraId="3BA71EFC" w14:textId="2D2CF936" w:rsidR="00C45037" w:rsidRPr="00E45C2D" w:rsidRDefault="00E45C2D" w:rsidP="00C45037">
      <w:r>
        <w:rPr>
          <w:rStyle w:val="Nadruk"/>
          <w:i w:val="0"/>
          <w:iCs w:val="0"/>
        </w:rPr>
        <w:t>In tegenstelling tot de toenames in veiligheid is netheid in elke categorie gedaald, waarbij in voorgaande jaren buurten, woongebieden en bedrijventerreinen allemaal door 20% van inwoners als niet schoon werd beoordeeld is er in 2021 geen enkelen categorie meer boven de 20%.</w:t>
      </w:r>
    </w:p>
    <w:p w14:paraId="36DF0476" w14:textId="24BAF7EA" w:rsidR="00C45037" w:rsidRPr="00426CC2" w:rsidRDefault="00C45037" w:rsidP="00C45037">
      <w:r>
        <w:br w:type="page"/>
      </w:r>
    </w:p>
    <w:p w14:paraId="1882A255" w14:textId="77777777" w:rsidR="004E459E" w:rsidRPr="00426CC2" w:rsidRDefault="004E459E">
      <w:pPr>
        <w:pStyle w:val="Kop1"/>
      </w:pPr>
      <w:r w:rsidRPr="00426CC2">
        <w:lastRenderedPageBreak/>
        <w:t>Bronnen</w:t>
      </w:r>
    </w:p>
    <w:sdt>
      <w:sdtPr>
        <w:id w:val="1732580604"/>
        <w:docPartObj>
          <w:docPartGallery w:val="Bibliographies"/>
          <w:docPartUnique/>
        </w:docPartObj>
      </w:sdtPr>
      <w:sdtContent>
        <w:sdt>
          <w:sdtPr>
            <w:id w:val="-573587230"/>
            <w:bibliography/>
          </w:sdtPr>
          <w:sdtContent>
            <w:p w14:paraId="5AD211CA" w14:textId="1923C4A4" w:rsidR="004E459E" w:rsidRPr="00426CC2" w:rsidRDefault="004E459E" w:rsidP="004E459E">
              <w:pPr>
                <w:pStyle w:val="Bibliografie"/>
                <w:ind w:left="720" w:hanging="720"/>
                <w:rPr>
                  <w:sz w:val="24"/>
                  <w:szCs w:val="24"/>
                </w:rPr>
              </w:pPr>
              <w:r w:rsidRPr="00426CC2">
                <w:fldChar w:fldCharType="begin"/>
              </w:r>
              <w:r w:rsidRPr="00426CC2">
                <w:instrText xml:space="preserve"> BIBLIOGRAPHY </w:instrText>
              </w:r>
              <w:r w:rsidRPr="00426CC2">
                <w:fldChar w:fldCharType="separate"/>
              </w:r>
              <w:r w:rsidRPr="00426CC2">
                <w:t xml:space="preserve">Gemeente Breda. (2022, September 15). </w:t>
              </w:r>
              <w:r w:rsidR="00426CC2">
                <w:rPr>
                  <w:i/>
                  <w:iCs/>
                </w:rPr>
                <w:t>r</w:t>
              </w:r>
              <w:r w:rsidR="00426CC2" w:rsidRPr="00426CC2">
                <w:rPr>
                  <w:i/>
                  <w:iCs/>
                </w:rPr>
                <w:t>esultaten</w:t>
              </w:r>
              <w:r w:rsidRPr="00426CC2">
                <w:rPr>
                  <w:i/>
                  <w:iCs/>
                </w:rPr>
                <w:t xml:space="preserve">-van-onderzoeken </w:t>
              </w:r>
              <w:r w:rsidRPr="00426CC2">
                <w:t xml:space="preserve">. Opgehaald van breda.nl: https://www.breda.nl/resultaten-van-onderzoeken </w:t>
              </w:r>
            </w:p>
            <w:p w14:paraId="480165D9" w14:textId="77777777" w:rsidR="004E459E" w:rsidRPr="00426CC2" w:rsidRDefault="004E459E" w:rsidP="004E459E">
              <w:pPr>
                <w:pStyle w:val="Bibliografie"/>
                <w:ind w:left="720" w:hanging="720"/>
              </w:pPr>
              <w:proofErr w:type="spellStart"/>
              <w:r w:rsidRPr="00426CC2">
                <w:t>i&amp;o</w:t>
              </w:r>
              <w:proofErr w:type="spellEnd"/>
              <w:r w:rsidRPr="00426CC2">
                <w:t xml:space="preserve"> research. (2020). </w:t>
              </w:r>
              <w:r w:rsidRPr="00426CC2">
                <w:rPr>
                  <w:i/>
                  <w:iCs/>
                </w:rPr>
                <w:t>Resultaten Stadsenquête 2019.</w:t>
              </w:r>
              <w:r w:rsidRPr="00426CC2">
                <w:t xml:space="preserve"> Breda: </w:t>
              </w:r>
              <w:proofErr w:type="spellStart"/>
              <w:r w:rsidRPr="00426CC2">
                <w:t>i&amp;o</w:t>
              </w:r>
              <w:proofErr w:type="spellEnd"/>
              <w:r w:rsidRPr="00426CC2">
                <w:t xml:space="preserve"> research.</w:t>
              </w:r>
            </w:p>
            <w:p w14:paraId="78AD0C25" w14:textId="77777777" w:rsidR="004E459E" w:rsidRPr="00426CC2" w:rsidRDefault="004E459E" w:rsidP="004E459E">
              <w:pPr>
                <w:pStyle w:val="Bibliografie"/>
                <w:ind w:left="720" w:hanging="720"/>
              </w:pPr>
              <w:proofErr w:type="spellStart"/>
              <w:r w:rsidRPr="00426CC2">
                <w:t>i&amp;o</w:t>
              </w:r>
              <w:proofErr w:type="spellEnd"/>
              <w:r w:rsidRPr="00426CC2">
                <w:t xml:space="preserve"> research. (2021). </w:t>
              </w:r>
              <w:r w:rsidRPr="00426CC2">
                <w:rPr>
                  <w:i/>
                  <w:iCs/>
                </w:rPr>
                <w:t>Resultaten Stadsenquête 2020.</w:t>
              </w:r>
              <w:r w:rsidRPr="00426CC2">
                <w:t xml:space="preserve"> Breda: </w:t>
              </w:r>
              <w:proofErr w:type="spellStart"/>
              <w:r w:rsidRPr="00426CC2">
                <w:t>i&amp;o</w:t>
              </w:r>
              <w:proofErr w:type="spellEnd"/>
              <w:r w:rsidRPr="00426CC2">
                <w:t xml:space="preserve"> research.</w:t>
              </w:r>
            </w:p>
            <w:p w14:paraId="21B7F13D" w14:textId="77777777" w:rsidR="004E459E" w:rsidRPr="00426CC2" w:rsidRDefault="004E459E" w:rsidP="004E459E">
              <w:pPr>
                <w:pStyle w:val="Bibliografie"/>
                <w:ind w:left="720" w:hanging="720"/>
              </w:pPr>
              <w:proofErr w:type="spellStart"/>
              <w:r w:rsidRPr="00426CC2">
                <w:t>i&amp;o</w:t>
              </w:r>
              <w:proofErr w:type="spellEnd"/>
              <w:r w:rsidRPr="00426CC2">
                <w:t xml:space="preserve"> research. (2022). </w:t>
              </w:r>
              <w:r w:rsidRPr="00426CC2">
                <w:rPr>
                  <w:i/>
                  <w:iCs/>
                </w:rPr>
                <w:t>Resultaten Stadsenquête 2021.</w:t>
              </w:r>
              <w:r w:rsidRPr="00426CC2">
                <w:t xml:space="preserve"> Breda: </w:t>
              </w:r>
              <w:proofErr w:type="spellStart"/>
              <w:r w:rsidRPr="00426CC2">
                <w:t>i&amp;o</w:t>
              </w:r>
              <w:proofErr w:type="spellEnd"/>
              <w:r w:rsidRPr="00426CC2">
                <w:t xml:space="preserve"> research.</w:t>
              </w:r>
            </w:p>
            <w:p w14:paraId="433DEC3C" w14:textId="692B2DAA" w:rsidR="004E459E" w:rsidRPr="00426CC2" w:rsidRDefault="004E459E" w:rsidP="004E459E">
              <w:r w:rsidRPr="00426CC2">
                <w:rPr>
                  <w:b/>
                  <w:bCs/>
                </w:rPr>
                <w:fldChar w:fldCharType="end"/>
              </w:r>
            </w:p>
          </w:sdtContent>
        </w:sdt>
      </w:sdtContent>
    </w:sdt>
    <w:p w14:paraId="790A84CB" w14:textId="580ABD7B" w:rsidR="005D45AA" w:rsidRPr="00426CC2" w:rsidRDefault="005D45AA">
      <w:r w:rsidRPr="00426CC2">
        <w:t xml:space="preserve"> </w:t>
      </w:r>
    </w:p>
    <w:sectPr w:rsidR="005D45AA" w:rsidRPr="00426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844A3"/>
    <w:multiLevelType w:val="hybridMultilevel"/>
    <w:tmpl w:val="DC7C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072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B6"/>
    <w:rsid w:val="000E2587"/>
    <w:rsid w:val="00126E2D"/>
    <w:rsid w:val="00157CEB"/>
    <w:rsid w:val="001A3381"/>
    <w:rsid w:val="00235856"/>
    <w:rsid w:val="0024673D"/>
    <w:rsid w:val="00274731"/>
    <w:rsid w:val="002D3F90"/>
    <w:rsid w:val="003E5AEB"/>
    <w:rsid w:val="00426CC2"/>
    <w:rsid w:val="004C572F"/>
    <w:rsid w:val="004E459E"/>
    <w:rsid w:val="005D45AA"/>
    <w:rsid w:val="0062254D"/>
    <w:rsid w:val="00665561"/>
    <w:rsid w:val="007929B6"/>
    <w:rsid w:val="008160BA"/>
    <w:rsid w:val="00836CB8"/>
    <w:rsid w:val="009B2CB0"/>
    <w:rsid w:val="009C2EBE"/>
    <w:rsid w:val="00BD1E07"/>
    <w:rsid w:val="00C45037"/>
    <w:rsid w:val="00C564FC"/>
    <w:rsid w:val="00D66446"/>
    <w:rsid w:val="00E00FFC"/>
    <w:rsid w:val="00E45C2D"/>
    <w:rsid w:val="00E66D7F"/>
    <w:rsid w:val="00FD1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D29D"/>
  <w15:chartTrackingRefBased/>
  <w15:docId w15:val="{D7CE179A-C5F4-41A8-B6A3-6EEE6F4B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D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1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16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45AA"/>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5D45AA"/>
    <w:rPr>
      <w:color w:val="0563C1" w:themeColor="hyperlink"/>
      <w:u w:val="single"/>
    </w:rPr>
  </w:style>
  <w:style w:type="character" w:styleId="Onopgelostemelding">
    <w:name w:val="Unresolved Mention"/>
    <w:basedOn w:val="Standaardalinea-lettertype"/>
    <w:uiPriority w:val="99"/>
    <w:semiHidden/>
    <w:unhideWhenUsed/>
    <w:rsid w:val="005D45AA"/>
    <w:rPr>
      <w:color w:val="605E5C"/>
      <w:shd w:val="clear" w:color="auto" w:fill="E1DFDD"/>
    </w:rPr>
  </w:style>
  <w:style w:type="paragraph" w:styleId="Titel">
    <w:name w:val="Title"/>
    <w:basedOn w:val="Standaard"/>
    <w:next w:val="Standaard"/>
    <w:link w:val="TitelChar"/>
    <w:uiPriority w:val="10"/>
    <w:qFormat/>
    <w:rsid w:val="004C5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572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66D7F"/>
    <w:pPr>
      <w:ind w:left="720"/>
      <w:contextualSpacing/>
    </w:pPr>
  </w:style>
  <w:style w:type="paragraph" w:styleId="Bibliografie">
    <w:name w:val="Bibliography"/>
    <w:basedOn w:val="Standaard"/>
    <w:next w:val="Standaard"/>
    <w:uiPriority w:val="37"/>
    <w:unhideWhenUsed/>
    <w:rsid w:val="00665561"/>
  </w:style>
  <w:style w:type="character" w:customStyle="1" w:styleId="Kop2Char">
    <w:name w:val="Kop 2 Char"/>
    <w:basedOn w:val="Standaardalinea-lettertype"/>
    <w:link w:val="Kop2"/>
    <w:uiPriority w:val="9"/>
    <w:rsid w:val="00BD1E07"/>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8160BA"/>
    <w:rPr>
      <w:rFonts w:asciiTheme="majorHAnsi" w:eastAsiaTheme="majorEastAsia" w:hAnsiTheme="majorHAnsi" w:cstheme="majorBidi"/>
      <w:color w:val="1F3763" w:themeColor="accent1" w:themeShade="7F"/>
      <w:sz w:val="24"/>
      <w:szCs w:val="24"/>
      <w:lang w:val="nl-NL"/>
    </w:rPr>
  </w:style>
  <w:style w:type="table" w:styleId="Tabelraster">
    <w:name w:val="Table Grid"/>
    <w:basedOn w:val="Standaardtabel"/>
    <w:uiPriority w:val="39"/>
    <w:rsid w:val="0012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126E2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Style1">
    <w:name w:val="Style1"/>
    <w:basedOn w:val="Standaardtabel"/>
    <w:uiPriority w:val="99"/>
    <w:rsid w:val="0062254D"/>
    <w:pPr>
      <w:spacing w:after="0" w:line="240" w:lineRule="auto"/>
    </w:pPr>
    <w:tblPr>
      <w:tblStyleRowBandSize w:val="1"/>
      <w:tblBorders>
        <w:top w:val="single" w:sz="4" w:space="0" w:color="FF5050"/>
        <w:left w:val="single" w:sz="4" w:space="0" w:color="FF5050"/>
        <w:bottom w:val="single" w:sz="4" w:space="0" w:color="FF5050"/>
        <w:right w:val="single" w:sz="4" w:space="0" w:color="FF5050"/>
        <w:insideH w:val="single" w:sz="4" w:space="0" w:color="FF5050"/>
        <w:insideV w:val="single" w:sz="4" w:space="0" w:color="FF5050"/>
      </w:tblBorders>
    </w:tblPr>
    <w:tcPr>
      <w:shd w:val="clear" w:color="auto" w:fill="FFFFFF" w:themeFill="background1"/>
    </w:tcPr>
    <w:tblStylePr w:type="firstRow">
      <w:rPr>
        <w:b/>
        <w:color w:val="FFFFFF" w:themeColor="background1"/>
      </w:rPr>
      <w:tblPr/>
      <w:tcPr>
        <w:shd w:val="clear" w:color="auto" w:fill="FF0000"/>
      </w:tcPr>
    </w:tblStylePr>
    <w:tblStylePr w:type="band1Horz">
      <w:tblPr/>
      <w:tcPr>
        <w:shd w:val="clear" w:color="auto" w:fill="FFAFAF"/>
      </w:tcPr>
    </w:tblStylePr>
  </w:style>
  <w:style w:type="character" w:customStyle="1" w:styleId="markedcontent">
    <w:name w:val="markedcontent"/>
    <w:basedOn w:val="Standaardalinea-lettertype"/>
    <w:rsid w:val="00C564FC"/>
  </w:style>
  <w:style w:type="character" w:styleId="Nadruk">
    <w:name w:val="Emphasis"/>
    <w:basedOn w:val="Standaardalinea-lettertype"/>
    <w:uiPriority w:val="20"/>
    <w:qFormat/>
    <w:rsid w:val="00C450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4403">
      <w:bodyDiv w:val="1"/>
      <w:marLeft w:val="0"/>
      <w:marRight w:val="0"/>
      <w:marTop w:val="0"/>
      <w:marBottom w:val="0"/>
      <w:divBdr>
        <w:top w:val="none" w:sz="0" w:space="0" w:color="auto"/>
        <w:left w:val="none" w:sz="0" w:space="0" w:color="auto"/>
        <w:bottom w:val="none" w:sz="0" w:space="0" w:color="auto"/>
        <w:right w:val="none" w:sz="0" w:space="0" w:color="auto"/>
      </w:divBdr>
    </w:div>
    <w:div w:id="660692068">
      <w:bodyDiv w:val="1"/>
      <w:marLeft w:val="0"/>
      <w:marRight w:val="0"/>
      <w:marTop w:val="0"/>
      <w:marBottom w:val="0"/>
      <w:divBdr>
        <w:top w:val="none" w:sz="0" w:space="0" w:color="auto"/>
        <w:left w:val="none" w:sz="0" w:space="0" w:color="auto"/>
        <w:bottom w:val="none" w:sz="0" w:space="0" w:color="auto"/>
        <w:right w:val="none" w:sz="0" w:space="0" w:color="auto"/>
      </w:divBdr>
    </w:div>
    <w:div w:id="1365520770">
      <w:bodyDiv w:val="1"/>
      <w:marLeft w:val="0"/>
      <w:marRight w:val="0"/>
      <w:marTop w:val="0"/>
      <w:marBottom w:val="0"/>
      <w:divBdr>
        <w:top w:val="none" w:sz="0" w:space="0" w:color="auto"/>
        <w:left w:val="none" w:sz="0" w:space="0" w:color="auto"/>
        <w:bottom w:val="none" w:sz="0" w:space="0" w:color="auto"/>
        <w:right w:val="none" w:sz="0" w:space="0" w:color="auto"/>
      </w:divBdr>
    </w:div>
    <w:div w:id="1450003246">
      <w:bodyDiv w:val="1"/>
      <w:marLeft w:val="0"/>
      <w:marRight w:val="0"/>
      <w:marTop w:val="0"/>
      <w:marBottom w:val="0"/>
      <w:divBdr>
        <w:top w:val="none" w:sz="0" w:space="0" w:color="auto"/>
        <w:left w:val="none" w:sz="0" w:space="0" w:color="auto"/>
        <w:bottom w:val="none" w:sz="0" w:space="0" w:color="auto"/>
        <w:right w:val="none" w:sz="0" w:space="0" w:color="auto"/>
      </w:divBdr>
    </w:div>
    <w:div w:id="19768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ior21</b:Tag>
    <b:SourceType>Report</b:SourceType>
    <b:Guid>{D72AAD7C-F3AA-4699-AC09-B5B205096406}</b:Guid>
    <b:Author>
      <b:Author>
        <b:Corporate>i&amp;o research</b:Corporate>
      </b:Author>
    </b:Author>
    <b:Title>Resultaten Stadsenquête 2020</b:Title>
    <b:Year>2021</b:Year>
    <b:Publisher>i&amp;o research</b:Publisher>
    <b:City>Breda</b:City>
    <b:RefOrder>4</b:RefOrder>
  </b:Source>
  <b:Source>
    <b:Tag>ior22</b:Tag>
    <b:SourceType>Report</b:SourceType>
    <b:Guid>{C091CE94-B0D3-49A8-A274-463152809966}</b:Guid>
    <b:Title>Resultaten Stadsenquête 2021</b:Title>
    <b:Year>2022</b:Year>
    <b:City>Breda</b:City>
    <b:Publisher>i&amp;o research</b:Publisher>
    <b:LCID>nl-NL</b:LCID>
    <b:Author>
      <b:Author>
        <b:Corporate>i&amp;o research</b:Corporate>
      </b:Author>
    </b:Author>
    <b:RefOrder>1</b:RefOrder>
  </b:Source>
  <b:Source>
    <b:Tag>ior20</b:Tag>
    <b:SourceType>Report</b:SourceType>
    <b:Guid>{F66BB33D-2C77-42BA-8B95-001925CE55FA}</b:Guid>
    <b:Author>
      <b:Author>
        <b:Corporate>i&amp;o research</b:Corporate>
      </b:Author>
    </b:Author>
    <b:Title>Resultaten Stadsenquête 2019</b:Title>
    <b:Year>2020</b:Year>
    <b:Publisher>i&amp;o research</b:Publisher>
    <b:City>Breda</b:City>
    <b:RefOrder>3</b:RefOrder>
  </b:Source>
  <b:Source>
    <b:Tag>Gem22</b:Tag>
    <b:SourceType>InternetSite</b:SourceType>
    <b:Guid>{6573D3FD-6A95-46A3-9F57-AB47B7E99A73}</b:Guid>
    <b:Title>resultaten-van-onderzoeken </b:Title>
    <b:Year>2022</b:Year>
    <b:Author>
      <b:Author>
        <b:Corporate>Gemeente Breda</b:Corporate>
      </b:Author>
    </b:Author>
    <b:InternetSiteTitle>breda.nl</b:InternetSiteTitle>
    <b:Month>September</b:Month>
    <b:Day>15</b:Day>
    <b:URL>https://www.breda.nl/resultaten-van-onderzoeken </b:URL>
    <b:RefOrder>2</b:RefOrder>
  </b:Source>
</b:Sources>
</file>

<file path=customXml/itemProps1.xml><?xml version="1.0" encoding="utf-8"?>
<ds:datastoreItem xmlns:ds="http://schemas.openxmlformats.org/officeDocument/2006/customXml" ds:itemID="{43E5255C-CC05-4E5A-9687-623758F3C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713</Words>
  <Characters>4065</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8</cp:revision>
  <dcterms:created xsi:type="dcterms:W3CDTF">2022-09-15T12:04:00Z</dcterms:created>
  <dcterms:modified xsi:type="dcterms:W3CDTF">2022-09-19T09:50:00Z</dcterms:modified>
</cp:coreProperties>
</file>