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HOMEPEDIA — Rapport des travaux réalisés</w:t>
      </w:r>
    </w:p>
    <w:p>
      <w:pPr>
        <w:pStyle w:val="Author"/>
      </w:pPr>
      <w:r>
        <w:t xml:space="preserve">Plateforme data d’accessibilité immobilière (Epitech T-DAT-902 « Big Data »)</w:t>
      </w:r>
    </w:p>
    <w:p>
      <w:pPr>
        <w:pStyle w:val="Date"/>
      </w:pPr>
      <w:r>
        <w:t xml:space="preserve">Juin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présentation-du-projet"/>
    <w:p>
      <w:pPr>
        <w:pStyle w:val="Heading1"/>
      </w:pPr>
      <w:r>
        <w:t xml:space="preserve">1. Présentation du projet</w:t>
      </w:r>
    </w:p>
    <w:p>
      <w:pPr>
        <w:pStyle w:val="FirstParagraph"/>
      </w:pPr>
      <w:r>
        <w:rPr>
          <w:b/>
          <w:bCs/>
        </w:rPr>
        <w:t xml:space="preserve">HOMEPEDIA</w:t>
      </w:r>
      <w:r>
        <w:t xml:space="preserve"> </w:t>
      </w:r>
      <w:r>
        <w:t xml:space="preserve">est une plateforme data qui agrège, par commune française,</w:t>
      </w:r>
      <w:r>
        <w:t xml:space="preserve"> </w:t>
      </w:r>
      <w:r>
        <w:t xml:space="preserve">plusieurs dimensions de la décision immobilière : le</w:t>
      </w:r>
      <w:r>
        <w:t xml:space="preserve"> </w:t>
      </w:r>
      <w:r>
        <w:rPr>
          <w:b/>
          <w:bCs/>
        </w:rPr>
        <w:t xml:space="preserve">prix</w:t>
      </w:r>
      <w:r>
        <w:t xml:space="preserve"> </w:t>
      </w:r>
      <w:r>
        <w:t xml:space="preserve">du logement, le</w:t>
      </w:r>
      <w:r>
        <w:t xml:space="preserve"> </w:t>
      </w:r>
      <w:r>
        <w:rPr>
          <w:b/>
          <w:bCs/>
        </w:rPr>
        <w:t xml:space="preserve">profil</w:t>
      </w:r>
      <w:r>
        <w:t xml:space="preserve"> </w:t>
      </w:r>
      <w:r>
        <w:t xml:space="preserve">de la population, l’</w:t>
      </w:r>
      <w:r>
        <w:rPr>
          <w:b/>
          <w:bCs/>
        </w:rPr>
        <w:t xml:space="preserve">accessibilité financière</w:t>
      </w:r>
      <w:r>
        <w:t xml:space="preserve"> </w:t>
      </w:r>
      <w:r>
        <w:t xml:space="preserve">(prix vs revenus), la</w:t>
      </w:r>
      <w:r>
        <w:t xml:space="preserve"> </w:t>
      </w:r>
      <w:r>
        <w:rPr>
          <w:b/>
          <w:bCs/>
        </w:rPr>
        <w:t xml:space="preserve">desserte en transport</w:t>
      </w:r>
      <w:r>
        <w:t xml:space="preserve"> </w:t>
      </w:r>
      <w:r>
        <w:t xml:space="preserve">et les</w:t>
      </w:r>
      <w:r>
        <w:t xml:space="preserve"> </w:t>
      </w:r>
      <w:r>
        <w:rPr>
          <w:b/>
          <w:bCs/>
        </w:rPr>
        <w:t xml:space="preserve">services/équipements</w:t>
      </w:r>
      <w:r>
        <w:t xml:space="preserve"> </w:t>
      </w:r>
      <w:r>
        <w:t xml:space="preserve">locaux. L’objectif est</w:t>
      </w:r>
      <w:r>
        <w:t xml:space="preserve"> </w:t>
      </w:r>
      <w:r>
        <w:t xml:space="preserve">de répondre à des questions comme :</w:t>
      </w:r>
      <w:r>
        <w:t xml:space="preserve"> </w:t>
      </w:r>
      <w:r>
        <w:rPr>
          <w:i/>
          <w:iCs/>
        </w:rPr>
        <w:t xml:space="preserve">« Où puis-je me loger, à mon budget, dans</w:t>
      </w:r>
      <w:r>
        <w:rPr>
          <w:i/>
          <w:iCs/>
        </w:rPr>
        <w:t xml:space="preserve"> </w:t>
      </w:r>
      <w:r>
        <w:rPr>
          <w:i/>
          <w:iCs/>
        </w:rPr>
        <w:t xml:space="preserve">une commune bien équipée et bien desservie ? »</w:t>
      </w:r>
    </w:p>
    <w:p>
      <w:pPr>
        <w:pStyle w:val="BodyText"/>
      </w:pPr>
      <w:r>
        <w:t xml:space="preserve">Le système suit une</w:t>
      </w:r>
      <w:r>
        <w:t xml:space="preserve"> </w:t>
      </w:r>
      <w:r>
        <w:rPr>
          <w:b/>
          <w:bCs/>
        </w:rPr>
        <w:t xml:space="preserve">architecture médaillon</w:t>
      </w:r>
      <w:r>
        <w:t xml:space="preserve"> </w:t>
      </w:r>
      <w:r>
        <w:t xml:space="preserve">(Bronze → Silver → Gold) sur un</w:t>
      </w:r>
      <w:r>
        <w:t xml:space="preserve"> </w:t>
      </w:r>
      <w:r>
        <w:t xml:space="preserve">stockage objet (AWS S3), orchestrée par Airflow, et expose ses résultats via une</w:t>
      </w:r>
      <w:r>
        <w:t xml:space="preserve"> </w:t>
      </w:r>
      <w:r>
        <w:t xml:space="preserve">API REST (FastAPI) servant une base PostgreSQL « Gold ». Une couche de</w:t>
      </w:r>
      <w:r>
        <w:t xml:space="preserve"> </w:t>
      </w:r>
      <w:r>
        <w:t xml:space="preserve">gouvernance (qualité des données + catalogue OpenMetadata) complète l’ensemble.</w:t>
      </w:r>
    </w:p>
    <w:bookmarkEnd w:id="9"/>
    <w:bookmarkStart w:id="12" w:name="architecture-stack-technique"/>
    <w:p>
      <w:pPr>
        <w:pStyle w:val="Heading1"/>
      </w:pPr>
      <w:r>
        <w:t xml:space="preserve">2. Architecture &amp; stack technique</w:t>
      </w:r>
    </w:p>
    <w:bookmarkStart w:id="10" w:name="architecture-médaillon"/>
    <w:p>
      <w:pPr>
        <w:pStyle w:val="Heading2"/>
      </w:pPr>
      <w:r>
        <w:t xml:space="preserve">Architecture médaillon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Couche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Stockage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données brutes, intactes (telles que reçues de la source)</w:t>
            </w:r>
          </w:p>
        </w:tc>
        <w:tc>
          <w:tcPr/>
          <w:p>
            <w:pPr>
              <w:pStyle w:val="Compact"/>
            </w:pPr>
            <w:r>
              <w:t xml:space="preserve">S3 (JSON/CSV.gz)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données nettoyées, typées, dédoublonnées</w:t>
            </w:r>
          </w:p>
        </w:tc>
        <w:tc>
          <w:tcPr/>
          <w:p>
            <w:pPr>
              <w:pStyle w:val="Compact"/>
            </w:pPr>
            <w:r>
              <w:t xml:space="preserve">S3 (Parquet partitionné)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données pré-agrégées, prêtes à servir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</w:tbl>
    <w:p>
      <w:pPr>
        <w:pStyle w:val="BodyText"/>
      </w:pPr>
      <w:r>
        <w:t xml:space="preserve">Principe directeur :</w:t>
      </w:r>
      <w:r>
        <w:t xml:space="preserve"> </w:t>
      </w:r>
      <w:r>
        <w:rPr>
          <w:b/>
          <w:bCs/>
        </w:rPr>
        <w:t xml:space="preserve">« right tool, right layer »</w:t>
      </w:r>
      <w:r>
        <w:t xml:space="preserve">. Le volume vit sur S3</w:t>
      </w:r>
      <w:r>
        <w:t xml:space="preserve"> </w:t>
      </w:r>
      <w:r>
        <w:t xml:space="preserve">(objet, peu coûteux, scalable) ; seul le résultat léger pré-agrégé va dans</w:t>
      </w:r>
      <w:r>
        <w:t xml:space="preserve"> </w:t>
      </w:r>
      <w:r>
        <w:t xml:space="preserve">PostgreSQL (rapide à requêter par l’API).</w:t>
      </w:r>
    </w:p>
    <w:bookmarkEnd w:id="10"/>
    <w:bookmarkStart w:id="11" w:name="stack"/>
    <w:p>
      <w:pPr>
        <w:pStyle w:val="Heading2"/>
      </w:pPr>
      <w:r>
        <w:t xml:space="preserve">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Ingestion</w:t>
      </w:r>
      <w:r>
        <w:t xml:space="preserve"> </w:t>
      </w:r>
      <w:r>
        <w:t xml:space="preserve">: connecteurs Python (requests + boto3) → S3.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Transformation</w:t>
      </w:r>
      <w:r>
        <w:t xml:space="preserve"> </w:t>
      </w:r>
      <w:r>
        <w:t xml:space="preserve">: Apache Spark 3.5 (lecture/écriture S3A, écriture Gold en</w:t>
      </w:r>
      <w:r>
        <w:t xml:space="preserve"> </w:t>
      </w:r>
      <w:r>
        <w:t xml:space="preserve">JDBC PostgreSQL).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</w:t>
      </w:r>
      <w:r>
        <w:t xml:space="preserve"> </w:t>
      </w:r>
      <w:r>
        <w:t xml:space="preserve">: AWS S3 (Bronze/Silver), PostgreSQL (Gold, sur VPS distant),</w:t>
      </w:r>
      <w:r>
        <w:t xml:space="preserve"> </w:t>
      </w:r>
      <w:r>
        <w:t xml:space="preserve">Redis (cache prévu).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Orchestration</w:t>
      </w:r>
      <w:r>
        <w:t xml:space="preserve"> </w:t>
      </w:r>
      <w:r>
        <w:t xml:space="preserve">: Apache Airflow 2.10 (DAGs déclaratifs, tâches Spark via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Service</w:t>
      </w:r>
      <w:r>
        <w:t xml:space="preserve"> </w:t>
      </w:r>
      <w:r>
        <w:t xml:space="preserve">: FastAPI (architecture en couches routers → services →</w:t>
      </w:r>
      <w:r>
        <w:t xml:space="preserve"> </w:t>
      </w:r>
      <w:r>
        <w:t xml:space="preserve">repositories → SQL).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Gouvernance</w:t>
      </w:r>
      <w:r>
        <w:t xml:space="preserve"> </w:t>
      </w:r>
      <w:r>
        <w:t xml:space="preserve">: moteur de qualité déclaratif (Spark) + OpenMetadata</w:t>
      </w:r>
      <w:r>
        <w:t xml:space="preserve"> </w:t>
      </w:r>
      <w:r>
        <w:t xml:space="preserve">(catalogue).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</w:t>
      </w:r>
      <w:r>
        <w:t xml:space="preserve"> </w:t>
      </w:r>
      <w:r>
        <w:t xml:space="preserve">: Docker Compose (dev), Taskfile, formats ouverts (Parquet).</w:t>
      </w:r>
    </w:p>
    <w:bookmarkEnd w:id="11"/>
    <w:bookmarkEnd w:id="12"/>
    <w:bookmarkStart w:id="13" w:name="les-sources-de-données"/>
    <w:p>
      <w:pPr>
        <w:pStyle w:val="Heading1"/>
      </w:pPr>
      <w:r>
        <w:t xml:space="preserve">3. Les sources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164"/>
        <w:gridCol w:w="1630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Axe</w:t>
            </w:r>
          </w:p>
        </w:tc>
        <w:tc>
          <w:tcPr/>
          <w:p>
            <w:pPr>
              <w:pStyle w:val="Compact"/>
            </w:pPr>
            <w:r>
              <w:t xml:space="preserve">Accès</w:t>
            </w:r>
          </w:p>
        </w:tc>
        <w:tc>
          <w:tcPr/>
          <w:p>
            <w:pPr>
              <w:pStyle w:val="Compact"/>
            </w:pPr>
            <w:r>
              <w:t xml:space="preserve">Millésime(s)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DVF</w:t>
            </w:r>
            <w:r>
              <w:t xml:space="preserve"> </w:t>
            </w:r>
            <w:r>
              <w:t xml:space="preserve">(Etalab)</w:t>
            </w:r>
          </w:p>
        </w:tc>
        <w:tc>
          <w:tcPr/>
          <w:p>
            <w:pPr>
              <w:pStyle w:val="Compact"/>
            </w:pPr>
            <w:r>
              <w:t xml:space="preserve">prix immobiliers</w:t>
            </w:r>
          </w:p>
        </w:tc>
        <w:tc>
          <w:tcPr/>
          <w:p>
            <w:pPr>
              <w:pStyle w:val="Compact"/>
            </w:pPr>
            <w:r>
              <w:t xml:space="preserve">geo-dvf CSV.gz (open data)</w:t>
            </w:r>
          </w:p>
        </w:tc>
        <w:tc>
          <w:tcPr/>
          <w:p>
            <w:pPr>
              <w:pStyle w:val="Compact"/>
            </w:pPr>
            <w:r>
              <w:t xml:space="preserve">2021–2025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INSEE</w:t>
            </w:r>
            <w:r>
              <w:t xml:space="preserve"> </w:t>
            </w:r>
            <w:r>
              <w:t xml:space="preserve">(recensement)</w:t>
            </w:r>
          </w:p>
        </w:tc>
        <w:tc>
          <w:tcPr/>
          <w:p>
            <w:pPr>
              <w:pStyle w:val="Compact"/>
            </w:pPr>
            <w:r>
              <w:t xml:space="preserve">population + démographie</w:t>
            </w:r>
          </w:p>
        </w:tc>
        <w:tc>
          <w:tcPr/>
          <w:p>
            <w:pPr>
              <w:pStyle w:val="Compact"/>
            </w:pPr>
            <w:r>
              <w:t xml:space="preserve">API Melodi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FiLoSoFi</w:t>
            </w:r>
            <w:r>
              <w:t xml:space="preserve"> </w:t>
            </w:r>
            <w:r>
              <w:t xml:space="preserve">(INSEE)</w:t>
            </w:r>
          </w:p>
        </w:tc>
        <w:tc>
          <w:tcPr/>
          <w:p>
            <w:pPr>
              <w:pStyle w:val="Compact"/>
            </w:pPr>
            <w:r>
              <w:t xml:space="preserve">revenu médian</w:t>
            </w:r>
          </w:p>
        </w:tc>
        <w:tc>
          <w:tcPr/>
          <w:p>
            <w:pPr>
              <w:pStyle w:val="Compact"/>
            </w:pPr>
            <w:r>
              <w:t xml:space="preserve">API Melodi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SNCF</w:t>
            </w:r>
            <w:r>
              <w:t xml:space="preserve"> </w:t>
            </w:r>
            <w:r>
              <w:t xml:space="preserve">(open data)</w:t>
            </w:r>
          </w:p>
        </w:tc>
        <w:tc>
          <w:tcPr/>
          <w:p>
            <w:pPr>
              <w:pStyle w:val="Compact"/>
            </w:pPr>
            <w:r>
              <w:t xml:space="preserve">desserte ferroviaire</w:t>
            </w:r>
          </w:p>
        </w:tc>
        <w:tc>
          <w:tcPr/>
          <w:p>
            <w:pPr>
              <w:pStyle w:val="Compact"/>
            </w:pPr>
            <w:r>
              <w:t xml:space="preserve">Opendatasoft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BPE</w:t>
            </w:r>
            <w:r>
              <w:t xml:space="preserve"> </w:t>
            </w:r>
            <w:r>
              <w:t xml:space="preserve">(INSEE)</w:t>
            </w:r>
          </w:p>
        </w:tc>
        <w:tc>
          <w:tcPr/>
          <w:p>
            <w:pPr>
              <w:pStyle w:val="Compact"/>
            </w:pPr>
            <w:r>
              <w:t xml:space="preserve">services/équipements</w:t>
            </w:r>
          </w:p>
        </w:tc>
        <w:tc>
          <w:tcPr/>
          <w:p>
            <w:pPr>
              <w:pStyle w:val="Compact"/>
            </w:pPr>
            <w:r>
              <w:t xml:space="preserve">API Melodi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(Mapbox)</w:t>
            </w:r>
          </w:p>
        </w:tc>
        <w:tc>
          <w:tcPr/>
          <w:p>
            <w:pPr>
              <w:pStyle w:val="Compact"/>
            </w:pPr>
            <w:r>
              <w:t xml:space="preserve">carte</w:t>
            </w:r>
          </w:p>
        </w:tc>
        <w:tc>
          <w:tcPr/>
          <w:p>
            <w:pPr>
              <w:pStyle w:val="Compact"/>
            </w:pPr>
            <w:r>
              <w:t xml:space="preserve">service runtime</w:t>
            </w:r>
          </w:p>
        </w:tc>
        <w:tc>
          <w:tcPr/>
          <w:p>
            <w:pPr>
              <w:pStyle w:val="Compact"/>
            </w:pPr>
            <w:r>
              <w:t xml:space="preserve">— (front uniquement)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Mapbox</w:t>
      </w:r>
      <w:r>
        <w:t xml:space="preserve"> </w:t>
      </w:r>
      <w:r>
        <w:t xml:space="preserve">n’est pas une source médaillon : c’est un service géospatial</w:t>
      </w:r>
      <w:r>
        <w:t xml:space="preserve"> </w:t>
      </w:r>
      <w:r>
        <w:t xml:space="preserve">appelé au runtime (carte côté front). Le besoin « distance à la gare la plus</w:t>
      </w:r>
      <w:r>
        <w:t xml:space="preserve"> </w:t>
      </w:r>
      <w:r>
        <w:t xml:space="preserve">proche » a été couvert</w:t>
      </w:r>
      <w:r>
        <w:t xml:space="preserve"> </w:t>
      </w:r>
      <w:r>
        <w:rPr>
          <w:b/>
          <w:bCs/>
        </w:rPr>
        <w:t xml:space="preserve">sans Mapbox</w:t>
      </w:r>
      <w:r>
        <w:t xml:space="preserve">, par calcul haversine sur les</w:t>
      </w:r>
      <w:r>
        <w:t xml:space="preserve"> </w:t>
      </w:r>
      <w:r>
        <w:t xml:space="preserve">coordonnées déjà disponibles.</w:t>
      </w:r>
    </w:p>
    <w:bookmarkEnd w:id="13"/>
    <w:bookmarkStart w:id="17" w:name="traitements-par-couche"/>
    <w:p>
      <w:pPr>
        <w:pStyle w:val="Heading1"/>
      </w:pPr>
      <w:r>
        <w:t xml:space="preserve">4. Traitements par couche</w:t>
      </w:r>
    </w:p>
    <w:bookmarkStart w:id="14" w:name="couche-bronze-ingestion-brute"/>
    <w:p>
      <w:pPr>
        <w:pStyle w:val="Heading2"/>
      </w:pPr>
      <w:r>
        <w:t xml:space="preserve">4.1 Couche Bronze — ingestion brute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capturer la donnée source</w:t>
      </w:r>
      <w:r>
        <w:t xml:space="preserve"> </w:t>
      </w:r>
      <w:r>
        <w:rPr>
          <w:b/>
          <w:bCs/>
        </w:rPr>
        <w:t xml:space="preserve">telle quelle</w:t>
      </w:r>
      <w:r>
        <w:t xml:space="preserve">, sans transformation,</w:t>
      </w:r>
      <w:r>
        <w:t xml:space="preserve"> </w:t>
      </w:r>
      <w:r>
        <w:t xml:space="preserve">pour garantir la</w:t>
      </w:r>
      <w:r>
        <w:t xml:space="preserve"> </w:t>
      </w:r>
      <w:r>
        <w:rPr>
          <w:b/>
          <w:bCs/>
        </w:rPr>
        <w:t xml:space="preserve">rejouabilité</w:t>
      </w:r>
      <w:r>
        <w:t xml:space="preserve"> </w:t>
      </w:r>
      <w:r>
        <w:t xml:space="preserve">(on peut tout reconstruire sans re-télécharger</w:t>
      </w:r>
      <w:r>
        <w:t xml:space="preserve"> </w:t>
      </w:r>
      <w:r>
        <w:t xml:space="preserve">la source, qui est volatile — geo-dvf ne garde que 5 ans glissants par exemple).</w:t>
      </w:r>
    </w:p>
    <w:p>
      <w:pPr>
        <w:pStyle w:val="BodyText"/>
      </w:pPr>
      <w:r>
        <w:t xml:space="preserve">Traitements effectués :</w:t>
      </w:r>
    </w:p>
    <w:p>
      <w:pPr>
        <w:pStyle w:val="Compact"/>
        <w:numPr>
          <w:ilvl w:val="0"/>
          <w:numId w:val="1002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connecteur par source</w:t>
      </w:r>
      <w:r>
        <w:t xml:space="preserve"> </w:t>
      </w:r>
      <w:r>
        <w:t xml:space="preserve">télécharge la donnée et la dépose sur S3</w:t>
      </w:r>
      <w:r>
        <w:t xml:space="preserve"> </w:t>
      </w:r>
      <w:r>
        <w:t xml:space="preserve">(</w:t>
      </w:r>
      <w:r>
        <w:rPr>
          <w:rStyle w:val="VerbatimChar"/>
        </w:rPr>
        <w:t xml:space="preserve">s3://homepedia-bronze/&lt;source&gt;/...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Chaque dépôt s’accompagne d’un</w:t>
      </w:r>
      <w:r>
        <w:t xml:space="preserve"> </w:t>
      </w:r>
      <w:r>
        <w:rPr>
          <w:b/>
          <w:bCs/>
        </w:rPr>
        <w:t xml:space="preserve">manifeste de 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_manifest.json</w:t>
      </w:r>
      <w:r>
        <w:t xml:space="preserve"> </w:t>
      </w:r>
      <w:r>
        <w:t xml:space="preserve">:</w:t>
      </w:r>
      <w:r>
        <w:t xml:space="preserve"> </w:t>
      </w:r>
      <w:r>
        <w:t xml:space="preserve">URL source, taille,</w:t>
      </w:r>
      <w:r>
        <w:t xml:space="preserve"> </w:t>
      </w:r>
      <w:r>
        <w:rPr>
          <w:b/>
          <w:bCs/>
        </w:rPr>
        <w:t xml:space="preserve">sha256</w:t>
      </w:r>
      <w:r>
        <w:t xml:space="preserve">, horodatage) → traçabilité.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Idempotence</w:t>
      </w:r>
      <w:r>
        <w:t xml:space="preserve"> </w:t>
      </w:r>
      <w:r>
        <w:t xml:space="preserve">: un objet déjà présent est sauté (sauf</w:t>
      </w:r>
      <w:r>
        <w:t xml:space="preserve"> </w:t>
      </w:r>
      <w:r>
        <w:rPr>
          <w:rStyle w:val="VerbatimChar"/>
        </w:rPr>
        <w:t xml:space="preserve">--overwrite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Pour les API (INSEE/FiLoSoFi/BPE), résolution de la liste des communes via</w:t>
      </w:r>
      <w:r>
        <w:t xml:space="preserve"> </w:t>
      </w:r>
      <w:r>
        <w:t xml:space="preserve">geo.api.gouv.fr, requêtes</w:t>
      </w:r>
      <w:r>
        <w:t xml:space="preserve"> </w:t>
      </w:r>
      <w:r>
        <w:rPr>
          <w:b/>
          <w:bCs/>
        </w:rPr>
        <w:t xml:space="preserve">batchées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throttlées</w:t>
      </w:r>
      <w:r>
        <w:t xml:space="preserve"> </w:t>
      </w:r>
      <w:r>
        <w:t xml:space="preserve">(respect des limites</w:t>
      </w:r>
      <w:r>
        <w:t xml:space="preserve"> </w:t>
      </w:r>
      <w:r>
        <w:t xml:space="preserve">de débit ~30 req/min), avec gestion du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(rate-limit).</w:t>
      </w:r>
    </w:p>
    <w:p>
      <w:pPr>
        <w:pStyle w:val="Compact"/>
        <w:numPr>
          <w:ilvl w:val="0"/>
          <w:numId w:val="1002"/>
        </w:numPr>
      </w:pPr>
      <w:r>
        <w:t xml:space="preserve">Gestion des</w:t>
      </w:r>
      <w:r>
        <w:t xml:space="preserve"> </w:t>
      </w:r>
      <w:r>
        <w:rPr>
          <w:b/>
          <w:bCs/>
        </w:rPr>
        <w:t xml:space="preserve">arrondissements</w:t>
      </w:r>
      <w:r>
        <w:t xml:space="preserve"> </w:t>
      </w:r>
      <w:r>
        <w:t xml:space="preserve">de Paris/Lyon/Marseille (Melodi les expose</w:t>
      </w:r>
      <w:r>
        <w:t xml:space="preserve"> </w:t>
      </w:r>
      <w:r>
        <w:t xml:space="preserve">sous un type GEO</w:t>
      </w:r>
      <w:r>
        <w:t xml:space="preserve"> </w:t>
      </w:r>
      <w:r>
        <w:rPr>
          <w:rStyle w:val="VerbatimChar"/>
        </w:rPr>
        <w:t xml:space="preserve">ARM-</w:t>
      </w:r>
      <w:r>
        <w:t xml:space="preserve"> </w:t>
      </w:r>
      <w:r>
        <w:t xml:space="preserve">distinct du</w:t>
      </w:r>
      <w:r>
        <w:t xml:space="preserve"> </w:t>
      </w:r>
      <w:r>
        <w:rPr>
          <w:rStyle w:val="VerbatimChar"/>
        </w:rPr>
        <w:t xml:space="preserve">COM-</w:t>
      </w:r>
      <w:r>
        <w:t xml:space="preserve"> </w:t>
      </w:r>
      <w:r>
        <w:t xml:space="preserve">des communes).</w:t>
      </w:r>
    </w:p>
    <w:bookmarkEnd w:id="14"/>
    <w:bookmarkStart w:id="15" w:name="couche-silver-nettoyage-normalisation"/>
    <w:p>
      <w:pPr>
        <w:pStyle w:val="Heading2"/>
      </w:pPr>
      <w:r>
        <w:t xml:space="preserve">4.2 Couche Silver — nettoyage &amp; normalisation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produire une donnée</w:t>
      </w:r>
      <w:r>
        <w:t xml:space="preserve"> </w:t>
      </w:r>
      <w:r>
        <w:rPr>
          <w:b/>
          <w:bCs/>
        </w:rPr>
        <w:t xml:space="preserve">fiable et typée</w:t>
      </w:r>
      <w:r>
        <w:t xml:space="preserve">, sur laquelle on peut</w:t>
      </w:r>
      <w:r>
        <w:t xml:space="preserve"> </w:t>
      </w:r>
      <w:r>
        <w:t xml:space="preserve">faire confiance, au format</w:t>
      </w:r>
      <w:r>
        <w:t xml:space="preserve"> </w:t>
      </w:r>
      <w:r>
        <w:rPr>
          <w:b/>
          <w:bCs/>
        </w:rPr>
        <w:t xml:space="preserve">Parquet colonnaire</w:t>
      </w:r>
      <w:r>
        <w:t xml:space="preserve"> </w:t>
      </w:r>
      <w:r>
        <w:t xml:space="preserve">partitionné (S3). C’est ici</w:t>
      </w:r>
      <w:r>
        <w:t xml:space="preserve"> </w:t>
      </w:r>
      <w:r>
        <w:t xml:space="preserve">qu’on applique la logique métier propre à chaque source.</w:t>
      </w:r>
    </w:p>
    <w:p>
      <w:pPr>
        <w:pStyle w:val="BodyText"/>
      </w:pPr>
      <w:r>
        <w:t xml:space="preserve">Traitements transverses :</w:t>
      </w:r>
    </w:p>
    <w:p>
      <w:pPr>
        <w:pStyle w:val="Compact"/>
        <w:numPr>
          <w:ilvl w:val="0"/>
          <w:numId w:val="1003"/>
        </w:numPr>
      </w:pPr>
      <w:r>
        <w:t xml:space="preserve">Lecture du Bronze, typage explicite, normalisation des codes commune (5</w:t>
      </w:r>
      <w:r>
        <w:t xml:space="preserve"> </w:t>
      </w:r>
      <w:r>
        <w:t xml:space="preserve">caractères, gestion Corse</w:t>
      </w:r>
      <w:r>
        <w:t xml:space="preserve"> </w:t>
      </w:r>
      <w:r>
        <w:rPr>
          <w:rStyle w:val="VerbatimChar"/>
        </w:rPr>
        <w:t xml:space="preserve">2A/2B</w:t>
      </w:r>
      <w:r>
        <w:t xml:space="preserve"> </w:t>
      </w:r>
      <w:r>
        <w:t xml:space="preserve">et DOM).</w:t>
      </w:r>
    </w:p>
    <w:p>
      <w:pPr>
        <w:pStyle w:val="Compact"/>
        <w:numPr>
          <w:ilvl w:val="0"/>
          <w:numId w:val="1003"/>
        </w:numPr>
      </w:pPr>
      <w:r>
        <w:t xml:space="preserve">Écriture en</w:t>
      </w:r>
      <w:r>
        <w:t xml:space="preserve"> </w:t>
      </w:r>
      <w:r>
        <w:rPr>
          <w:b/>
          <w:bCs/>
        </w:rPr>
        <w:t xml:space="preserve">Parquet partitionné</w:t>
      </w:r>
      <w:r>
        <w:t xml:space="preserve"> </w:t>
      </w:r>
      <w:r>
        <w:t xml:space="preserve">(</w:t>
      </w:r>
      <w:r>
        <w:rPr>
          <w:rStyle w:val="VerbatimChar"/>
        </w:rPr>
        <w:t xml:space="preserve">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code_departement</w:t>
      </w:r>
      <w:r>
        <w:t xml:space="preserve">) avec</w:t>
      </w:r>
      <w:r>
        <w:t xml:space="preserve"> </w:t>
      </w:r>
      <w:r>
        <w:rPr>
          <w:b/>
          <w:bCs/>
        </w:rPr>
        <w:t xml:space="preserve">dynamic partition overwrite</w:t>
      </w:r>
      <w:r>
        <w:t xml:space="preserve"> </w:t>
      </w:r>
      <w:r>
        <w:t xml:space="preserve">(rejouer une seule année n’écrase que cette</w:t>
      </w:r>
      <w:r>
        <w:t xml:space="preserve"> </w:t>
      </w:r>
      <w:r>
        <w:t xml:space="preserve">partition).</w:t>
      </w:r>
    </w:p>
    <w:p>
      <w:pPr>
        <w:pStyle w:val="Compact"/>
        <w:numPr>
          <w:ilvl w:val="0"/>
          <w:numId w:val="1003"/>
        </w:numPr>
      </w:pPr>
      <w:r>
        <w:t xml:space="preserve">Référentiel des communes consolidé depuis geo.api.gouv.fr (autoritatif et</w:t>
      </w:r>
      <w:r>
        <w:t xml:space="preserve"> </w:t>
      </w:r>
      <w:r>
        <w:t xml:space="preserve">uniforme, y compris arrondissements).</w:t>
      </w:r>
    </w:p>
    <w:p>
      <w:pPr>
        <w:pStyle w:val="FirstParagraph"/>
      </w:pPr>
      <w:r>
        <w:t xml:space="preserve">Traitements spécifiques marquants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DVF — filtre « mono-bien »</w:t>
      </w:r>
      <w:r>
        <w:t xml:space="preserve"> </w:t>
      </w:r>
      <w:r>
        <w:t xml:space="preserve">: dans DVF, la</w:t>
      </w:r>
      <w:r>
        <w:t xml:space="preserve"> </w:t>
      </w:r>
      <w:r>
        <w:rPr>
          <w:rStyle w:val="VerbatimChar"/>
        </w:rPr>
        <w:t xml:space="preserve">valeur_fonciere</w:t>
      </w:r>
      <w:r>
        <w:t xml:space="preserve"> </w:t>
      </w:r>
      <w:r>
        <w:t xml:space="preserve">est répétée sur</w:t>
      </w:r>
      <w:r>
        <w:t xml:space="preserve"> </w:t>
      </w:r>
      <w:r>
        <w:t xml:space="preserve">chaque ligne d’une mutation. Sans filtre, un même appartement serait compté</w:t>
      </w:r>
      <w:r>
        <w:t xml:space="preserve"> </w:t>
      </w:r>
      <w:r>
        <w:t xml:space="preserve">plusieurs fois et le prix/m² serait faux. On ne garde qu’un local résidentiel</w:t>
      </w:r>
      <w:r>
        <w:t xml:space="preserve"> </w:t>
      </w:r>
      <w:r>
        <w:t xml:space="preserve">par mutation → ex.</w:t>
      </w:r>
      <w:r>
        <w:t xml:space="preserve"> </w:t>
      </w:r>
      <w:r>
        <w:rPr>
          <w:b/>
          <w:bCs/>
        </w:rPr>
        <w:t xml:space="preserve">4,67 M lignes brutes → 0,92 M lignes Silver</w:t>
      </w:r>
      <w:r>
        <w:t xml:space="preserve"> </w:t>
      </w:r>
      <w:r>
        <w:t xml:space="preserve">pour 2021</w:t>
      </w:r>
      <w:r>
        <w:t xml:space="preserve"> </w:t>
      </w:r>
      <w:r>
        <w:t xml:space="preserve">(≈80 % de bruit écarté).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INSEE / FiLoSoFi</w:t>
      </w:r>
      <w:r>
        <w:t xml:space="preserve"> </w:t>
      </w:r>
      <w:r>
        <w:t xml:space="preserve">: extraction de la cellule pertinente du cube Melodi</w:t>
      </w:r>
      <w:r>
        <w:t xml:space="preserve"> </w:t>
      </w:r>
      <w:r>
        <w:t xml:space="preserve">(totaux</w:t>
      </w:r>
      <w:r>
        <w:t xml:space="preserve"> </w:t>
      </w:r>
      <w:r>
        <w:rPr>
          <w:rStyle w:val="VerbatimChar"/>
        </w:rPr>
        <w:t xml:space="preserve">SEX=_T &amp; AGE=_T</w:t>
      </w:r>
      <w:r>
        <w:t xml:space="preserve"> </w:t>
      </w:r>
      <w:r>
        <w:t xml:space="preserve">pour la population ;</w:t>
      </w:r>
      <w:r>
        <w:t xml:space="preserve"> </w:t>
      </w:r>
      <w:r>
        <w:rPr>
          <w:rStyle w:val="VerbatimChar"/>
        </w:rPr>
        <w:t xml:space="preserve">MED_SL</w:t>
      </w:r>
      <w:r>
        <w:t xml:space="preserve"> </w:t>
      </w:r>
      <w:r>
        <w:t xml:space="preserve">en €/an pour le revenu),</w:t>
      </w:r>
      <w:r>
        <w:t xml:space="preserve"> </w:t>
      </w:r>
      <w:r>
        <w:t xml:space="preserve">reprojection des codes GEO</w:t>
      </w:r>
      <w:r>
        <w:t xml:space="preserve"> </w:t>
      </w:r>
      <w:r>
        <w:rPr>
          <w:rStyle w:val="VerbatimChar"/>
        </w:rPr>
        <w:t xml:space="preserve">COM-</w:t>
      </w:r>
      <w:r>
        <w:t xml:space="preserve">/</w:t>
      </w:r>
      <w:r>
        <w:rPr>
          <w:rStyle w:val="VerbatimChar"/>
        </w:rPr>
        <w:t xml:space="preserve">ARM-</w:t>
      </w:r>
      <w:r>
        <w:t xml:space="preserve"> </w:t>
      </w:r>
      <w:r>
        <w:t xml:space="preserve">en code commune.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SNCF</w:t>
      </w:r>
      <w:r>
        <w:t xml:space="preserve"> </w:t>
      </w:r>
      <w:r>
        <w:t xml:space="preserve">: jointure gares × fréquentation sur le code UIC ; gestion des gares</w:t>
      </w:r>
      <w:r>
        <w:t xml:space="preserve"> </w:t>
      </w:r>
      <w:r>
        <w:t xml:space="preserve">multi-UIC (on garde le premier).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BPE</w:t>
      </w:r>
      <w:r>
        <w:t xml:space="preserve"> </w:t>
      </w:r>
      <w:r>
        <w:t xml:space="preserve">: aplatissement du cube en (commune × type d’équipement → nombre),</w:t>
      </w:r>
      <w:r>
        <w:t xml:space="preserve"> </w:t>
      </w:r>
      <w:r>
        <w:t xml:space="preserve">en ne gardant que les types feuilles dans les 7 domaines A–G.</w:t>
      </w:r>
    </w:p>
    <w:bookmarkEnd w:id="15"/>
    <w:bookmarkStart w:id="16" w:name="couche-gold-agrégation-service"/>
    <w:p>
      <w:pPr>
        <w:pStyle w:val="Heading2"/>
      </w:pPr>
      <w:r>
        <w:t xml:space="preserve">4.3 Couche Gold — agrégation &amp; service</w:t>
      </w:r>
    </w:p>
    <w:p>
      <w:pPr>
        <w:pStyle w:val="FirstParagraph"/>
      </w:pPr>
      <w:r>
        <w:rPr>
          <w:b/>
          <w:bCs/>
        </w:rPr>
        <w:t xml:space="preserve">Objectif</w:t>
      </w:r>
      <w:r>
        <w:t xml:space="preserve"> </w:t>
      </w:r>
      <w:r>
        <w:t xml:space="preserve">: des tables</w:t>
      </w:r>
      <w:r>
        <w:t xml:space="preserve"> </w:t>
      </w:r>
      <w:r>
        <w:rPr>
          <w:b/>
          <w:bCs/>
        </w:rPr>
        <w:t xml:space="preserve">pré-agrégées par commune</w:t>
      </w:r>
      <w:r>
        <w:t xml:space="preserve">, taillées pour l’API</w:t>
      </w:r>
      <w:r>
        <w:t xml:space="preserve"> </w:t>
      </w:r>
      <w:r>
        <w:t xml:space="preserve">(pattern « data marts » / Kimball), écrites en PostgreSQL via Spark JDBC</w:t>
      </w:r>
      <w:r>
        <w:t xml:space="preserve"> </w:t>
      </w:r>
      <w:r>
        <w:t xml:space="preserve">(truncate + reload, donc reconstructibles à volonté).</w:t>
      </w:r>
    </w:p>
    <w:p>
      <w:pPr>
        <w:pStyle w:val="BodyText"/>
      </w:pPr>
      <w:r>
        <w:t xml:space="preserve">Le Gold est découpé par</w:t>
      </w:r>
      <w:r>
        <w:t xml:space="preserve"> </w:t>
      </w:r>
      <w:r>
        <w:rPr>
          <w:b/>
          <w:bCs/>
        </w:rPr>
        <w:t xml:space="preserve">domaine métier</w:t>
      </w:r>
      <w:r>
        <w:t xml:space="preserve"> </w:t>
      </w:r>
      <w:r>
        <w:t xml:space="preserve">(schémas PostgreSQL séparés)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Schéma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arrondissement_metrics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city_price_trend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housing_price_by_type</w:t>
            </w:r>
          </w:p>
        </w:tc>
        <w:tc>
          <w:tcPr/>
          <w:p>
            <w:pPr>
              <w:pStyle w:val="Compact"/>
            </w:pPr>
            <w:r>
              <w:t xml:space="preserve">prix, population, typologie, revenu, accessibilité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demographics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commune_profile</w:t>
            </w:r>
          </w:p>
        </w:tc>
        <w:tc>
          <w:tcPr/>
          <w:p>
            <w:pPr>
              <w:pStyle w:val="Compact"/>
            </w:pPr>
            <w:r>
              <w:t xml:space="preserve">profil âge/sexe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commune_transport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gares</w:t>
            </w:r>
          </w:p>
        </w:tc>
        <w:tc>
          <w:tcPr/>
          <w:p>
            <w:pPr>
              <w:pStyle w:val="Compact"/>
            </w:pPr>
            <w:r>
              <w:t xml:space="preserve">desserte SNCF + distance gare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commune_equipements</w:t>
            </w:r>
          </w:p>
        </w:tc>
        <w:tc>
          <w:tcPr/>
          <w:p>
            <w:pPr>
              <w:pStyle w:val="Compact"/>
            </w:pPr>
            <w:r>
              <w:t xml:space="preserve">équipements BPE</w:t>
            </w:r>
          </w:p>
        </w:tc>
      </w:tr>
    </w:tbl>
    <w:p>
      <w:pPr>
        <w:pStyle w:val="BodyText"/>
      </w:pPr>
      <w:r>
        <w:t xml:space="preserve">Traitements/enrichissements calculés en Gold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Agrégation par commune ET par année</w:t>
      </w:r>
      <w:r>
        <w:t xml:space="preserve"> </w:t>
      </w:r>
      <w:r>
        <w:t xml:space="preserve">des prix (chaque millésime garde sa</w:t>
      </w:r>
      <w:r>
        <w:t xml:space="preserve"> </w:t>
      </w:r>
      <w:r>
        <w:t xml:space="preserve">propre médiane → pas de mélange d’années).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Jointure des 3 sources</w:t>
      </w:r>
      <w:r>
        <w:t xml:space="preserve"> </w:t>
      </w:r>
      <w:r>
        <w:t xml:space="preserve">DVF × INSEE × FiLoSoFi sur le code commune.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Typologie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type_commune</w:t>
      </w:r>
      <w:r>
        <w:t xml:space="preserve">) : 5 paliers dérivés de la population (Village,</w:t>
      </w:r>
      <w:r>
        <w:t xml:space="preserve"> </w:t>
      </w:r>
      <w:r>
        <w:t xml:space="preserve">Bourg, Petite ville, Ville moyenne, Grande ville).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Accessibilité</w:t>
      </w:r>
      <w:r>
        <w:t xml:space="preserve"> </w:t>
      </w:r>
      <w:r>
        <w:t xml:space="preserve">(</w:t>
      </w:r>
      <w:r>
        <w:rPr>
          <w:rStyle w:val="VerbatimChar"/>
        </w:rPr>
        <w:t xml:space="preserve">affordability_years</w:t>
      </w:r>
      <w:r>
        <w:t xml:space="preserve">,</w:t>
      </w:r>
      <w:r>
        <w:t xml:space="preserve"> </w:t>
      </w:r>
      <w:r>
        <w:rPr>
          <w:rStyle w:val="VerbatimChar"/>
        </w:rPr>
        <w:t xml:space="preserve">m2_par_an</w:t>
      </w:r>
      <w:r>
        <w:t xml:space="preserve">,</w:t>
      </w:r>
      <w:r>
        <w:t xml:space="preserve"> </w:t>
      </w:r>
      <w:r>
        <w:rPr>
          <w:rStyle w:val="VerbatimChar"/>
        </w:rPr>
        <w:t xml:space="preserve">affordability_class</w:t>
      </w:r>
      <w:r>
        <w:t xml:space="preserve">) :</w:t>
      </w:r>
      <w:r>
        <w:t xml:space="preserve"> </w:t>
      </w:r>
      <w:r>
        <w:t xml:space="preserve">indice relatif croisant prix/m² et revenu médian (4 classes : Très abordable →</w:t>
      </w:r>
      <w:r>
        <w:t xml:space="preserve"> </w:t>
      </w:r>
      <w:r>
        <w:t xml:space="preserve">Très tendu).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Démographie</w:t>
      </w:r>
      <w:r>
        <w:t xml:space="preserve"> </w:t>
      </w:r>
      <w:r>
        <w:t xml:space="preserve">(format large) :</w:t>
      </w:r>
      <w:r>
        <w:t xml:space="preserve"> </w:t>
      </w:r>
      <w:r>
        <w:rPr>
          <w:rStyle w:val="VerbatimChar"/>
        </w:rPr>
        <w:t xml:space="preserve">pct_moins25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pct_25_64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pct_65plus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part_femmes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Transport</w:t>
      </w:r>
      <w:r>
        <w:t xml:space="preserve"> </w:t>
      </w:r>
      <w:r>
        <w:t xml:space="preserve">: nb de gares, fréquentation,</w:t>
      </w:r>
      <w:r>
        <w:t xml:space="preserve"> </w:t>
      </w:r>
      <w:r>
        <w:rPr>
          <w:b/>
          <w:bCs/>
        </w:rPr>
        <w:t xml:space="preserve">classe de desserte</w:t>
      </w:r>
      <w:r>
        <w:t xml:space="preserve"> </w:t>
      </w:r>
      <w:r>
        <w:t xml:space="preserve">(Hub</w:t>
      </w:r>
      <w:r>
        <w:t xml:space="preserve"> </w:t>
      </w:r>
      <w:r>
        <w:t xml:space="preserve">majeur/Bien desservie/Desservie/Non desservie) ; pour les communes sans gare,</w:t>
      </w:r>
      <w:r>
        <w:t xml:space="preserve"> </w:t>
      </w:r>
      <w:r>
        <w:rPr>
          <w:b/>
          <w:bCs/>
        </w:rPr>
        <w:t xml:space="preserve">distance haversine</w:t>
      </w:r>
      <w:r>
        <w:t xml:space="preserve"> </w:t>
      </w:r>
      <w:r>
        <w:t xml:space="preserve">à la gare la plus proche (plafonnée à 150 km — les</w:t>
      </w:r>
      <w:r>
        <w:t xml:space="preserve"> </w:t>
      </w:r>
      <w:r>
        <w:t xml:space="preserve">DOM, sans rail, sont mis à nul).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Services</w:t>
      </w:r>
      <w:r>
        <w:t xml:space="preserve"> </w:t>
      </w:r>
      <w:r>
        <w:t xml:space="preserve">: comptes par 7 domaines +</w:t>
      </w:r>
      <w:r>
        <w:t xml:space="preserve"> </w:t>
      </w:r>
      <w:r>
        <w:rPr>
          <w:b/>
          <w:bCs/>
        </w:rPr>
        <w:t xml:space="preserve">équipements clés</w:t>
      </w:r>
      <w:r>
        <w:t xml:space="preserve"> </w:t>
      </w:r>
      <w:r>
        <w:t xml:space="preserve">(médecin,</w:t>
      </w:r>
      <w:r>
        <w:t xml:space="preserve"> </w:t>
      </w:r>
      <w:r>
        <w:t xml:space="preserve">pharmacie, école, supermarché, boulangerie) +</w:t>
      </w:r>
      <w:r>
        <w:t xml:space="preserve"> </w:t>
      </w:r>
      <w:r>
        <w:rPr>
          <w:b/>
          <w:bCs/>
        </w:rPr>
        <w:t xml:space="preserve">niveau d’équipement</w:t>
      </w:r>
      <w:r>
        <w:t xml:space="preserve"> </w:t>
      </w:r>
      <w:r>
        <w:t xml:space="preserve">(Sous-équipée → Très équipée).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Rollup Paris/Lyon/Marseille</w:t>
      </w:r>
      <w:r>
        <w:t xml:space="preserve"> </w:t>
      </w:r>
      <w:r>
        <w:t xml:space="preserve">: DVF, SNCF et BPE codent ces villes par</w:t>
      </w:r>
      <w:r>
        <w:t xml:space="preserve"> </w:t>
      </w:r>
      <w:r>
        <w:t xml:space="preserve">arrondissement ; on les</w:t>
      </w:r>
      <w:r>
        <w:t xml:space="preserve"> </w:t>
      </w:r>
      <w:r>
        <w:rPr>
          <w:b/>
          <w:bCs/>
        </w:rPr>
        <w:t xml:space="preserve">roule</w:t>
      </w:r>
      <w:r>
        <w:t xml:space="preserve"> </w:t>
      </w:r>
      <w:r>
        <w:t xml:space="preserve">vers la commune mère (75056/69123/13055)</w:t>
      </w:r>
      <w:r>
        <w:t xml:space="preserve"> </w:t>
      </w:r>
      <w:r>
        <w:t xml:space="preserve">pour cohérence, le détail par arrondissement restant accessible à part.</w:t>
      </w:r>
    </w:p>
    <w:bookmarkEnd w:id="16"/>
    <w:bookmarkEnd w:id="17"/>
    <w:bookmarkStart w:id="18" w:name="couche-de-service-api-rest-fastapi"/>
    <w:p>
      <w:pPr>
        <w:pStyle w:val="Heading1"/>
      </w:pPr>
      <w:r>
        <w:t xml:space="preserve">5. Couche de service — API REST (FastAPI)</w:t>
      </w:r>
    </w:p>
    <w:p>
      <w:pPr>
        <w:pStyle w:val="FirstParagraph"/>
      </w:pPr>
      <w:r>
        <w:t xml:space="preserve">Architecture en couches (routers → services → repositories → SQL) pour découpler</w:t>
      </w:r>
      <w:r>
        <w:t xml:space="preserve"> </w:t>
      </w:r>
      <w:r>
        <w:t xml:space="preserve">le métier du stockage. Endpoints exposés 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/api/v1/cities</w:t>
      </w:r>
      <w:r>
        <w:t xml:space="preserve"> </w:t>
      </w:r>
      <w:r>
        <w:t xml:space="preserve">— liste paginée/triable/filtrable (carte, recherche,</w:t>
      </w:r>
      <w:r>
        <w:t xml:space="preserve"> </w:t>
      </w:r>
      <w:r>
        <w:t xml:space="preserve">classement).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/api/v1/cities/{code}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fiche ville 360°</w:t>
      </w:r>
      <w:r>
        <w:t xml:space="preserve"> </w:t>
      </w:r>
      <w:r>
        <w:t xml:space="preserve">: prix + historique annuel +</w:t>
      </w:r>
      <w:r>
        <w:t xml:space="preserve"> </w:t>
      </w:r>
      <w:r>
        <w:t xml:space="preserve">tendance mensuelle + démographie + transport + services, en</w:t>
      </w:r>
      <w:r>
        <w:t xml:space="preserve"> </w:t>
      </w:r>
      <w:r>
        <w:rPr>
          <w:b/>
          <w:bCs/>
        </w:rPr>
        <w:t xml:space="preserve">un seul appel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/api/v1/cities/{code}/arrondissements</w:t>
      </w:r>
      <w:r>
        <w:t xml:space="preserve"> </w:t>
      </w:r>
      <w:r>
        <w:t xml:space="preserve">— drill-down Paris/Lyon/Marseille.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/api/v1/cities/{code}/gares</w:t>
      </w:r>
      <w:r>
        <w:t xml:space="preserve"> </w:t>
      </w:r>
      <w:r>
        <w:t xml:space="preserve">— gares de la commune.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/api/v1/housing/prices</w:t>
      </w:r>
      <w:r>
        <w:t xml:space="preserve"> </w:t>
      </w:r>
      <w:r>
        <w:t xml:space="preserve">— prix par type de bien (Maison/Appartement).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/ready</w:t>
      </w:r>
      <w:r>
        <w:t xml:space="preserve"> </w:t>
      </w:r>
      <w:r>
        <w:t xml:space="preserve">— sondes ops.</w:t>
      </w:r>
    </w:p>
    <w:p>
      <w:pPr>
        <w:pStyle w:val="FirstParagraph"/>
      </w:pPr>
      <w:r>
        <w:t xml:space="preserve">La documentation détaillée de l’API (contrat front) est dans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docs/fiche_ville.md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docs/liste_villes.md</w:t>
      </w:r>
      <w:r>
        <w:t xml:space="preserve">, plus le</w:t>
      </w:r>
      <w:r>
        <w:t xml:space="preserve"> </w:t>
      </w:r>
      <w:r>
        <w:t xml:space="preserve">Swagger interactif (</w:t>
      </w:r>
      <w:r>
        <w:rPr>
          <w:rStyle w:val="VerbatimChar"/>
        </w:rPr>
        <w:t xml:space="preserve">/docs</w:t>
      </w:r>
      <w:r>
        <w:t xml:space="preserve">).</w:t>
      </w:r>
    </w:p>
    <w:bookmarkEnd w:id="18"/>
    <w:bookmarkStart w:id="21" w:name="gouvernance-des-données"/>
    <w:p>
      <w:pPr>
        <w:pStyle w:val="Heading1"/>
      </w:pPr>
      <w:r>
        <w:t xml:space="preserve">6. Gouvernance des données</w:t>
      </w:r>
    </w:p>
    <w:bookmarkStart w:id="19" w:name="qualité-automatisée-dans-le-pipeline"/>
    <w:p>
      <w:pPr>
        <w:pStyle w:val="Heading2"/>
      </w:pPr>
      <w:r>
        <w:t xml:space="preserve">Qualité (automatisée, dans le pipeline)</w:t>
      </w:r>
    </w:p>
    <w:p>
      <w:pPr>
        <w:pStyle w:val="Compact"/>
        <w:numPr>
          <w:ilvl w:val="0"/>
          <w:numId w:val="1007"/>
        </w:numPr>
      </w:pPr>
      <w:r>
        <w:t xml:space="preserve">Moteur</w:t>
      </w:r>
      <w:r>
        <w:t xml:space="preserve"> </w:t>
      </w:r>
      <w:r>
        <w:rPr>
          <w:b/>
          <w:bCs/>
        </w:rPr>
        <w:t xml:space="preserve">déclaratif</w:t>
      </w:r>
      <w:r>
        <w:t xml:space="preserve"> </w:t>
      </w:r>
      <w:r>
        <w:t xml:space="preserve">(</w:t>
      </w:r>
      <w:r>
        <w:rPr>
          <w:rStyle w:val="VerbatimChar"/>
        </w:rPr>
        <w:t xml:space="preserve">QualityMonitor</w:t>
      </w:r>
      <w:r>
        <w:t xml:space="preserve">) : règles volume / complétude / plage /</w:t>
      </w:r>
      <w:r>
        <w:t xml:space="preserve"> </w:t>
      </w:r>
      <w:r>
        <w:t xml:space="preserve">domaine / regex / unicité, définies en YAML.</w:t>
      </w:r>
    </w:p>
    <w:p>
      <w:pPr>
        <w:pStyle w:val="Compact"/>
        <w:numPr>
          <w:ilvl w:val="0"/>
          <w:numId w:val="1007"/>
        </w:numPr>
      </w:pPr>
      <w:r>
        <w:t xml:space="preserve">Job Spark</w:t>
      </w:r>
      <w:r>
        <w:t xml:space="preserve"> </w:t>
      </w:r>
      <w:r>
        <w:rPr>
          <w:rStyle w:val="VerbatimChar"/>
        </w:rPr>
        <w:t xml:space="preserve">data_quality_reporter</w:t>
      </w:r>
      <w:r>
        <w:t xml:space="preserve"> </w:t>
      </w:r>
      <w:r>
        <w:t xml:space="preserve">: exécute les règles, écrit un</w:t>
      </w:r>
      <w:r>
        <w:t xml:space="preserve"> </w:t>
      </w:r>
      <w:r>
        <w:rPr>
          <w:b/>
          <w:bCs/>
        </w:rPr>
        <w:t xml:space="preserve">rapport JSON</w:t>
      </w:r>
      <w:r>
        <w:rPr>
          <w:b/>
          <w:bCs/>
        </w:rPr>
        <w:t xml:space="preserve"> </w:t>
      </w:r>
      <w:r>
        <w:rPr>
          <w:b/>
          <w:bCs/>
        </w:rPr>
        <w:t xml:space="preserve">sur S3</w:t>
      </w:r>
      <w:r>
        <w:t xml:space="preserve">, et</w:t>
      </w:r>
      <w:r>
        <w:t xml:space="preserve"> </w:t>
      </w:r>
      <w:r>
        <w:rPr>
          <w:b/>
          <w:bCs/>
        </w:rPr>
        <w:t xml:space="preserve">fait échouer la tâche Airflow</w:t>
      </w:r>
      <w:r>
        <w:t xml:space="preserve"> </w:t>
      </w:r>
      <w:r>
        <w:t xml:space="preserve">si une règle critique casse</w:t>
      </w:r>
      <w:r>
        <w:t xml:space="preserve"> </w:t>
      </w:r>
      <w:r>
        <w:t xml:space="preserve">(gate).</w:t>
      </w:r>
    </w:p>
    <w:p>
      <w:pPr>
        <w:pStyle w:val="Compact"/>
        <w:numPr>
          <w:ilvl w:val="0"/>
          <w:numId w:val="1007"/>
        </w:numPr>
      </w:pPr>
      <w:r>
        <w:t xml:space="preserve">Couvre le</w:t>
      </w:r>
      <w:r>
        <w:t xml:space="preserve"> </w:t>
      </w:r>
      <w:r>
        <w:rPr>
          <w:b/>
          <w:bCs/>
        </w:rPr>
        <w:t xml:space="preserve">Silver DVF</w:t>
      </w:r>
      <w:r>
        <w:t xml:space="preserve"> </w:t>
      </w:r>
      <w:r>
        <w:t xml:space="preserve">(7 contrôles)</w:t>
      </w:r>
      <w:r>
        <w:t xml:space="preserve"> </w:t>
      </w:r>
      <w:r>
        <w:rPr>
          <w:b/>
          <w:bCs/>
        </w:rPr>
        <w:t xml:space="preserve">et le Gold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market.city_metrics</w:t>
      </w:r>
      <w:r>
        <w:t xml:space="preserve"> </w:t>
      </w:r>
      <w:r>
        <w:t xml:space="preserve">8/8,</w:t>
      </w:r>
      <w:r>
        <w:t xml:space="preserve"> </w:t>
      </w:r>
      <w:r>
        <w:rPr>
          <w:rStyle w:val="VerbatimChar"/>
        </w:rPr>
        <w:t xml:space="preserve">demographics</w:t>
      </w:r>
      <w:r>
        <w:t xml:space="preserve"> </w:t>
      </w:r>
      <w:r>
        <w:t xml:space="preserve">7/7) — le runner lit indifféremment le Parquet S3 ou le</w:t>
      </w:r>
      <w:r>
        <w:t xml:space="preserve"> </w:t>
      </w:r>
      <w:r>
        <w:t xml:space="preserve">Postgres servi (JDBC).</w:t>
      </w:r>
    </w:p>
    <w:bookmarkEnd w:id="19"/>
    <w:bookmarkStart w:id="20" w:name="catalogue-openmetadata"/>
    <w:p>
      <w:pPr>
        <w:pStyle w:val="Heading2"/>
      </w:pPr>
      <w:r>
        <w:t xml:space="preserve">Catalogue (OpenMetadata)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5 tables Gold servies</w:t>
      </w:r>
      <w:r>
        <w:t xml:space="preserve"> </w:t>
      </w:r>
      <w:r>
        <w:t xml:space="preserve">sont cataloguées (schéma + colonnes) via le</w:t>
      </w:r>
      <w:r>
        <w:t xml:space="preserve"> </w:t>
      </w:r>
      <w:r>
        <w:t xml:space="preserve">connecteur PostgreSQL d’OpenMetadata.</w:t>
      </w:r>
    </w:p>
    <w:p>
      <w:pPr>
        <w:pStyle w:val="Compact"/>
        <w:numPr>
          <w:ilvl w:val="0"/>
          <w:numId w:val="100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résultats qualité</w:t>
      </w:r>
      <w:r>
        <w:t xml:space="preserve"> </w:t>
      </w:r>
      <w:r>
        <w:t xml:space="preserve">du Gold sont</w:t>
      </w:r>
      <w:r>
        <w:t xml:space="preserve"> </w:t>
      </w:r>
      <w:r>
        <w:rPr>
          <w:b/>
          <w:bCs/>
        </w:rPr>
        <w:t xml:space="preserve">poussés en TestCases</w:t>
      </w:r>
      <w:r>
        <w:t xml:space="preserve"> </w:t>
      </w:r>
      <w:r>
        <w:t xml:space="preserve">sur ces tables</w:t>
      </w:r>
      <w:r>
        <w:t xml:space="preserve"> </w:t>
      </w:r>
      <w:r>
        <w:t xml:space="preserve">(visibles dans l’UI à côté du schéma).</w:t>
      </w:r>
    </w:p>
    <w:p>
      <w:pPr>
        <w:pStyle w:val="Compact"/>
        <w:numPr>
          <w:ilvl w:val="0"/>
          <w:numId w:val="1008"/>
        </w:numPr>
      </w:pPr>
      <w:r>
        <w:t xml:space="preserve">Provenance assurée en amont par les manifestes Bronze.</w:t>
      </w:r>
    </w:p>
    <w:bookmarkEnd w:id="20"/>
    <w:bookmarkEnd w:id="21"/>
    <w:bookmarkStart w:id="22" w:name="orchestration-airflow"/>
    <w:p>
      <w:pPr>
        <w:pStyle w:val="Heading1"/>
      </w:pPr>
      <w:r>
        <w:t xml:space="preserve">7. Orchestration (Airflow)</w:t>
      </w:r>
    </w:p>
    <w:p>
      <w:pPr>
        <w:pStyle w:val="FirstParagraph"/>
      </w:pPr>
      <w:r>
        <w:t xml:space="preserve">Trois DAGs déclaratifs, chacun par domaine 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housing_etl</w:t>
      </w:r>
      <w:r>
        <w:t xml:space="preserve"> </w:t>
      </w:r>
      <w:r>
        <w:t xml:space="preserve">: DVF + INSEE + FiLoSoFi → market/demographics (ingestion →</w:t>
      </w:r>
      <w:r>
        <w:t xml:space="preserve"> </w:t>
      </w:r>
      <w:r>
        <w:t xml:space="preserve">silver → gold → qualité).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mobility_etl</w:t>
      </w:r>
      <w:r>
        <w:t xml:space="preserve"> </w:t>
      </w:r>
      <w:r>
        <w:t xml:space="preserve">: SNCF → mobility.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amenities_etl</w:t>
      </w:r>
      <w:r>
        <w:t xml:space="preserve"> </w:t>
      </w:r>
      <w:r>
        <w:t xml:space="preserve">: BPE → services.</w:t>
      </w:r>
    </w:p>
    <w:p>
      <w:pPr>
        <w:pStyle w:val="FirstParagraph"/>
      </w:pPr>
      <w:r>
        <w:t xml:space="preserve">Les callables d’ingestion vivent dans une classe (</w:t>
      </w:r>
      <w:r>
        <w:rPr>
          <w:rStyle w:val="VerbatimChar"/>
        </w:rPr>
        <w:t xml:space="preserve">HomepediaETLTasks</w:t>
      </w:r>
      <w:r>
        <w:t xml:space="preserve">) ; les</w:t>
      </w:r>
      <w:r>
        <w:t xml:space="preserve"> </w:t>
      </w:r>
      <w:r>
        <w:t xml:space="preserve">modules DAG restent purement déclaratifs (convention : pas de fonction dans un</w:t>
      </w:r>
      <w:r>
        <w:t xml:space="preserve"> </w:t>
      </w:r>
      <w:r>
        <w:t xml:space="preserve">fichier DAG). Les jobs Spark s’exécutent dans le conteneur spark-master via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</w:t>
      </w:r>
    </w:p>
    <w:bookmarkEnd w:id="22"/>
    <w:bookmarkStart w:id="23" w:name="état-davancement-ce-qui-est-fait"/>
    <w:p>
      <w:pPr>
        <w:pStyle w:val="Heading1"/>
      </w:pPr>
      <w:r>
        <w:t xml:space="preserve">8. État d’avancement — ce qui est fait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4 sources data intégrées</w:t>
      </w:r>
      <w:r>
        <w:t xml:space="preserve"> </w:t>
      </w:r>
      <w:r>
        <w:t xml:space="preserve">de bout en bout (DVF, INSEE, FiLoSoFi, SNCF,</w:t>
      </w:r>
      <w:r>
        <w:t xml:space="preserve"> </w:t>
      </w:r>
      <w:r>
        <w:t xml:space="preserve">BPE) — Bronze, Silver, Gold.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Fiche ville complète</w:t>
      </w:r>
      <w:r>
        <w:t xml:space="preserve"> </w:t>
      </w:r>
      <w:r>
        <w:t xml:space="preserve">servie par l’API : prix (multi-années) + typologie</w:t>
      </w:r>
    </w:p>
    <w:p>
      <w:pPr>
        <w:pStyle w:val="Compact"/>
        <w:numPr>
          <w:ilvl w:val="1"/>
          <w:numId w:val="1011"/>
        </w:numPr>
      </w:pPr>
      <w:r>
        <w:t xml:space="preserve">démographie + accessibilité + transport + services.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Enrichissements dérivés</w:t>
      </w:r>
      <w:r>
        <w:t xml:space="preserve"> </w:t>
      </w:r>
      <w:r>
        <w:t xml:space="preserve">: typologie, accessibilité, classes de desserte</w:t>
      </w:r>
      <w:r>
        <w:t xml:space="preserve"> </w:t>
      </w:r>
      <w:r>
        <w:t xml:space="preserve">et d’équipement, distance à la gare la plus proche.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Gouvernance</w:t>
      </w:r>
      <w:r>
        <w:t xml:space="preserve"> </w:t>
      </w:r>
      <w:r>
        <w:t xml:space="preserve">: qualité automatisée (Silver DVF + Gold), catalogue</w:t>
      </w:r>
      <w:r>
        <w:t xml:space="preserve"> </w:t>
      </w:r>
      <w:r>
        <w:t xml:space="preserve">OpenMetadata du Gold, pont qualité→catalogue.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 </w:t>
      </w:r>
      <w:r>
        <w:t xml:space="preserve">: 3 DAGs Airflow.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: référence API, fiche ville, liste villes, ADR de choix</w:t>
      </w:r>
      <w:r>
        <w:t xml:space="preserve"> </w:t>
      </w:r>
      <w:r>
        <w:t xml:space="preserve">de stockage (Postgres vs ClickHouse, Parquet/S3 en Silver).</w:t>
      </w:r>
    </w:p>
    <w:bookmarkEnd w:id="23"/>
    <w:bookmarkStart w:id="24" w:name="ce-qui-reste-à-faire"/>
    <w:p>
      <w:pPr>
        <w:pStyle w:val="Heading1"/>
      </w:pPr>
      <w:r>
        <w:t xml:space="preserve">9. Ce qui reste à faire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Chantier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  <w:tc>
          <w:tcPr/>
          <w:p>
            <w:pPr>
              <w:pStyle w:val="Compact"/>
            </w:pPr>
            <w:r>
              <w:t xml:space="preserve">Priorité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application web (carte + fiches + recherche/filtres) à partir du contrat d’API documenté ; intégration de la</w:t>
            </w:r>
            <w:r>
              <w:t xml:space="preserve"> </w:t>
            </w:r>
            <w:r>
              <w:rPr>
                <w:b/>
                <w:bCs/>
              </w:rPr>
              <w:t xml:space="preserve">carte Mapbox</w:t>
            </w:r>
          </w:p>
        </w:tc>
        <w:tc>
          <w:tcPr/>
          <w:p>
            <w:pPr>
              <w:pStyle w:val="Compact"/>
            </w:pPr>
            <w:r>
              <w:t xml:space="preserve">haute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DVF Silver 2023 &amp; 2025</w:t>
            </w:r>
          </w:p>
        </w:tc>
        <w:tc>
          <w:tcPr/>
          <w:p>
            <w:pPr>
              <w:pStyle w:val="Compact"/>
            </w:pPr>
            <w:r>
              <w:t xml:space="preserve">millésimes manquants (Bronze déjà présent) à passer en Silver puis Gold pour compléter l’historique des prix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Qualité &amp; catalogue mobility/services</w:t>
            </w:r>
          </w:p>
        </w:tc>
        <w:tc>
          <w:tcPr/>
          <w:p>
            <w:pPr>
              <w:pStyle w:val="Compact"/>
            </w:pPr>
            <w:r>
              <w:t xml:space="preserve">étendre les contrôles qualité et le catalogue OpenMetadata aux domaines transport et services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 Redis</w:t>
            </w:r>
          </w:p>
        </w:tc>
        <w:tc>
          <w:tcPr/>
          <w:p>
            <w:pPr>
              <w:pStyle w:val="Compact"/>
            </w:pPr>
            <w:r>
              <w:t xml:space="preserve">matérialiser les vues chaudes (tâche</w:t>
            </w:r>
            <w:r>
              <w:t xml:space="preserve"> </w:t>
            </w:r>
            <w:r>
              <w:rPr>
                <w:rStyle w:val="VerbatimChar"/>
              </w:rPr>
              <w:t xml:space="preserve">refresh_cache</w:t>
            </w:r>
            <w:r>
              <w:t xml:space="preserve"> </w:t>
            </w:r>
            <w:r>
              <w:t xml:space="preserve">encore stub) pour accélérer l’API</w:t>
            </w:r>
          </w:p>
        </w:tc>
        <w:tc>
          <w:tcPr/>
          <w:p>
            <w:pPr>
              <w:pStyle w:val="Compact"/>
            </w:pPr>
            <w:r>
              <w:t xml:space="preserve">moyenne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isochrone (Mapbox)</w:t>
            </w:r>
          </w:p>
        </w:tc>
        <w:tc>
          <w:tcPr/>
          <w:p>
            <w:pPr>
              <w:pStyle w:val="Compact"/>
            </w:pPr>
            <w:r>
              <w:t xml:space="preserve">proxy runtime « communes atteignables en X min » croisé aux prix/desserte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Arrondissements enrichis</w:t>
            </w:r>
          </w:p>
        </w:tc>
        <w:tc>
          <w:tcPr/>
          <w:p>
            <w:pPr>
              <w:pStyle w:val="Compact"/>
            </w:pPr>
            <w:r>
              <w:t xml:space="preserve">exposer les arrondissements comme entités à part entière (prix/démo/transport propres)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Évolution BPE</w:t>
            </w:r>
          </w:p>
        </w:tc>
        <w:tc>
          <w:tcPr/>
          <w:p>
            <w:pPr>
              <w:pStyle w:val="Compact"/>
            </w:pPr>
            <w:r>
              <w:t xml:space="preserve">brancher</w:t>
            </w:r>
            <w:r>
              <w:t xml:space="preserve"> </w:t>
            </w:r>
            <w:r>
              <w:rPr>
                <w:rStyle w:val="VerbatimChar"/>
              </w:rPr>
              <w:t xml:space="preserve">DS_BPE_EVOLUTION</w:t>
            </w:r>
            <w:r>
              <w:t xml:space="preserve"> </w:t>
            </w:r>
            <w:r>
              <w:t xml:space="preserve">si une courbe « services dans le temps » est souhaitée</w:t>
            </w:r>
          </w:p>
        </w:tc>
        <w:tc>
          <w:tcPr/>
          <w:p>
            <w:pPr>
              <w:pStyle w:val="Compact"/>
            </w:pPr>
            <w:r>
              <w:t xml:space="preserve">optionnel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Politiques d’accès / rétention</w:t>
            </w:r>
          </w:p>
        </w:tc>
        <w:tc>
          <w:tcPr/>
          <w:p>
            <w:pPr>
              <w:pStyle w:val="Compact"/>
            </w:pPr>
            <w:r>
              <w:t xml:space="preserve">RBAC, rétention, conformité (actuellement à l’état de squelette)</w:t>
            </w:r>
          </w:p>
        </w:tc>
        <w:tc>
          <w:tcPr/>
          <w:p>
            <w:pPr>
              <w:pStyle w:val="Compact"/>
            </w:pPr>
            <w:r>
              <w:t xml:space="preserve">basse</w:t>
            </w:r>
          </w:p>
        </w:tc>
      </w:tr>
    </w:tbl>
    <w:bookmarkEnd w:id="24"/>
    <w:bookmarkStart w:id="25" w:name="limites-connues"/>
    <w:p>
      <w:pPr>
        <w:pStyle w:val="Heading1"/>
      </w:pPr>
      <w:r>
        <w:t xml:space="preserve">10. Limites connues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Paris/Lyon/Marseille</w:t>
      </w:r>
      <w:r>
        <w:t xml:space="preserve"> </w:t>
      </w:r>
      <w:r>
        <w:t xml:space="preserve">: codés par arrondissement dans DVF/SNCF/BPE ; roulés</w:t>
      </w:r>
      <w:r>
        <w:t xml:space="preserve"> </w:t>
      </w:r>
      <w:r>
        <w:t xml:space="preserve">vers la commune mère (détail par arrondissement partiel).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Communes sans transaction DVF</w:t>
      </w:r>
      <w:r>
        <w:t xml:space="preserve"> </w:t>
      </w:r>
      <w:r>
        <w:t xml:space="preserve">(~micro-communes rurales) absentes des prix</w:t>
      </w:r>
      <w:r>
        <w:t xml:space="preserve"> </w:t>
      </w:r>
      <w:r>
        <w:t xml:space="preserve">; les DOM n’ont pas de rail (distance gare mise à nul au-delà de 150 km).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Décalage de millésimes</w:t>
      </w:r>
      <w:r>
        <w:t xml:space="preserve"> </w:t>
      </w:r>
      <w:r>
        <w:t xml:space="preserve">entre sources (prix 2024 vs revenu 2023 vs</w:t>
      </w:r>
      <w:r>
        <w:t xml:space="preserve"> </w:t>
      </w:r>
      <w:r>
        <w:t xml:space="preserve">population 2022) — assumé et</w:t>
      </w:r>
      <w:r>
        <w:t xml:space="preserve"> </w:t>
      </w:r>
      <w:r>
        <w:rPr>
          <w:b/>
          <w:bCs/>
        </w:rPr>
        <w:t xml:space="preserve">exposé explicitement</w:t>
      </w:r>
      <w:r>
        <w:t xml:space="preserve"> </w:t>
      </w:r>
      <w:r>
        <w:t xml:space="preserve">dans l’API (transparence</w:t>
      </w:r>
      <w:r>
        <w:t xml:space="preserve"> </w:t>
      </w:r>
      <w:r>
        <w:t xml:space="preserve">des millésimes), car incompressible (calendriers de publication INSEE).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 de dev</w:t>
      </w:r>
      <w:r>
        <w:t xml:space="preserve"> </w:t>
      </w:r>
      <w:r>
        <w:t xml:space="preserve">: Docker Desktop instable sous forte charge (OpenMetadata</w:t>
      </w:r>
      <w:r>
        <w:t xml:space="preserve"> </w:t>
      </w:r>
      <w:r>
        <w:t xml:space="preserve">lourd) ; certains recalculs Gold ont été faits en contournement sur l’hôte.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HOMEPEDIA — Rapport des travaux réalisés</dc:title>
  <dc:creator>Plateforme data d’accessibilité immobilière (Epitech T-DAT-902 « Big Data »)</dc:creator>
  <cp:keywords/>
  <dcterms:created xsi:type="dcterms:W3CDTF">2026-06-26T15:13:03Z</dcterms:created>
  <dcterms:modified xsi:type="dcterms:W3CDTF">2026-06-26T15:13:03Z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</Properties>
</file>