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A3A5C"/>
          <w:sz w:val="40"/>
          <w:szCs w:val="40"/>
        </w:rPr>
        <w:t xml:space="preserve">Phase-Dependent Resonance Coupling in Earth’s Layered Seismicity</w:t>
      </w:r>
    </w:p>
    <w:p>
      <w:pPr>
        <w:spacing w:after="80" w:before="0"/>
        <w:jc w:val="center"/>
      </w:pPr>
      <w:r>
        <w:rPr>
          <w:rFonts w:ascii="Arial" w:cs="Arial" w:eastAsia="Arial" w:hAnsi="Arial"/>
          <w:i/>
          <w:iCs/>
          <w:color w:val="2E4A7A"/>
          <w:sz w:val="26"/>
          <w:szCs w:val="26"/>
        </w:rPr>
        <w:t xml:space="preserve">An Annex to the Earth-Moon Framework</w:t>
      </w:r>
    </w:p>
    <w:p>
      <w:pPr>
        <w:spacing w:after="60" w:before="80"/>
        <w:jc w:val="center"/>
      </w:pPr>
      <w:r>
        <w:rPr>
          <w:rFonts w:ascii="Arial" w:cs="Arial" w:eastAsia="Arial" w:hAnsi="Arial"/>
          <w:b/>
          <w:bCs/>
          <w:sz w:val="24"/>
          <w:szCs w:val="24"/>
        </w:rPr>
        <w:t xml:space="preserve">Carolina Johnson (CJ)</w:t>
      </w:r>
    </w:p>
    <w:p>
      <w:pPr>
        <w:spacing w:after="60" w:before="0"/>
        <w:jc w:val="center"/>
      </w:pPr>
      <w:r>
        <w:rPr>
          <w:rFonts w:ascii="Arial" w:cs="Arial" w:eastAsia="Arial" w:hAnsi="Arial"/>
          <w:color w:val="666666"/>
          <w:sz w:val="20"/>
          <w:szCs w:val="20"/>
        </w:rPr>
        <w:t xml:space="preserve">June 2026  |  Series: Harmonic Structures in Natural Systems</w:t>
      </w:r>
    </w:p>
    <w:p>
      <w:pPr>
        <w:spacing w:after="60" w:before="0"/>
        <w:jc w:val="center"/>
      </w:pPr>
      <w:r>
        <w:rPr>
          <w:rFonts w:ascii="Arial" w:cs="Arial" w:eastAsia="Arial" w:hAnsi="Arial"/>
          <w:color w:val="666666"/>
          <w:sz w:val="20"/>
          <w:szCs w:val="20"/>
        </w:rPr>
        <w:t xml:space="preserve">SemanticShift.net  |  CC BY 4.0</w:t>
      </w:r>
    </w:p>
    <w:p>
      <w:pPr>
        <w:pBdr>
          <w:bottom w:val="single" w:color="CCCCCC" w:sz="4" w:space="1"/>
        </w:pBdr>
        <w:spacing w:after="200" w:before="200"/>
      </w:pPr>
      <w:r>
        <w:t xml:space="preserve"/>
      </w:r>
    </w:p>
    <w:p>
      <w:pPr>
        <w:pStyle w:val="Heading1"/>
        <w:spacing w:after="180" w:before="360"/>
      </w:pPr>
      <w:r>
        <w:rPr>
          <w:rFonts w:ascii="Arial" w:cs="Arial" w:eastAsia="Arial" w:hAnsi="Arial"/>
          <w:b/>
          <w:bCs/>
          <w:color w:val="1A3A5C"/>
          <w:sz w:val="28"/>
          <w:szCs w:val="28"/>
        </w:rPr>
        <w:t xml:space="preserve">Abstract</w:t>
      </w:r>
    </w:p>
    <w:p>
      <w:pPr>
        <w:spacing w:after="100" w:before="100"/>
      </w:pPr>
      <w:r>
        <w:rPr>
          <w:rFonts w:ascii="Arial" w:cs="Arial" w:eastAsia="Arial" w:hAnsi="Arial"/>
          <w:sz w:val="22"/>
          <w:szCs w:val="22"/>
        </w:rPr>
        <w:t xml:space="preserve">This annex applies the Unified Harmonic Shells (UHS) framework to the solid Earth interior. Using the curvature-frequency duality of the Φ-operator (f = c/r), a single spatial invariant Λ is calibrated to the Core-Mantle Boundary (CMB). From Λ, the full interior shell ladder is derived: the lithospheric base (n = 11/10), the upper/lower mantle transition at 660 km (n = 11/9), the mid-lower mantle transition (n = 4), the F-zone crystallization envelope (n = 6), and the Innermost Inner Core boundary (n = 8). Deep-focus seismicity at 41 km and 250 km is mapped to rational nodes 11/10 and 8/7 respectively. The failure mechanism is derived from the quadratic strain-rate dependence ε̇ ∝ 1/r² and the phase reset at rational nodes, which produces ε̇ₛₑᵩᵘᵢᴿᵉᵈ &gt; ε̇ₚᴸᵃₛₜᵢᶜ over a finite crossing interval Δt. Two observed values enter: mean Earth radius Rᴇ = 6,371 km and CMB radius rᴀᴄᴍ = 3,480 km. No parameters are fitted.</w:t>
      </w:r>
    </w:p>
    <w:p>
      <w:pPr>
        <w:spacing w:after="60" w:before="60"/>
      </w:pPr>
      <w:r>
        <w:t xml:space="preserve"/>
      </w:r>
    </w:p>
    <w:p>
      <w:pPr>
        <w:pBdr>
          <w:bottom w:val="single" w:color="CCCCCC" w:sz="4" w:space="1"/>
        </w:pBdr>
        <w:spacing w:after="200" w:before="200"/>
      </w:pPr>
      <w:r>
        <w:t xml:space="preserve"/>
      </w:r>
    </w:p>
    <w:p>
      <w:pPr>
        <w:pStyle w:val="Heading1"/>
        <w:spacing w:after="180" w:before="360"/>
      </w:pPr>
      <w:r>
        <w:rPr>
          <w:rFonts w:ascii="Arial" w:cs="Arial" w:eastAsia="Arial" w:hAnsi="Arial"/>
          <w:b/>
          <w:bCs/>
          <w:color w:val="1A3A5C"/>
          <w:sz w:val="28"/>
          <w:szCs w:val="28"/>
        </w:rPr>
        <w:t xml:space="preserve">1. The Nested Field</w:t>
      </w:r>
    </w:p>
    <w:p>
      <w:pPr>
        <w:spacing w:after="100" w:before="100"/>
      </w:pPr>
      <w:r>
        <w:rPr>
          <w:rFonts w:ascii="Arial" w:cs="Arial" w:eastAsia="Arial" w:hAnsi="Arial"/>
          <w:sz w:val="22"/>
          <w:szCs w:val="22"/>
        </w:rPr>
        <w:t xml:space="preserve">The Φ-operator is scale-invariant. When applied to the Earth system, it resolves independently at three observable levels: the solar system frequency structure and torque inversion at the asteroid belt [1], the ionospheric admissibility lock at the F-layer [2], and the solid Earth interior addressed in this annex. The curvature constant c changes with the system. The structural logic does not.</w:t>
      </w:r>
    </w:p>
    <w:p>
      <w:pPr>
        <w:pBdr>
          <w:bottom w:val="single" w:color="CCCCCC" w:sz="4" w:space="1"/>
        </w:pBdr>
        <w:spacing w:after="200" w:before="200"/>
      </w:pPr>
      <w:r>
        <w:t xml:space="preserve"/>
      </w:r>
    </w:p>
    <w:p>
      <w:pPr>
        <w:pStyle w:val="Heading1"/>
        <w:spacing w:after="180" w:before="360"/>
      </w:pPr>
      <w:r>
        <w:rPr>
          <w:rFonts w:ascii="Arial" w:cs="Arial" w:eastAsia="Arial" w:hAnsi="Arial"/>
          <w:b/>
          <w:bCs/>
          <w:color w:val="1A3A5C"/>
          <w:sz w:val="28"/>
          <w:szCs w:val="28"/>
        </w:rPr>
        <w:t xml:space="preserve">2. The Φ-Operator and Shell Conditions</w:t>
      </w:r>
    </w:p>
    <w:p>
      <w:pPr>
        <w:spacing w:after="100" w:before="100"/>
      </w:pPr>
      <w:r>
        <w:rPr>
          <w:rFonts w:ascii="Arial" w:cs="Arial" w:eastAsia="Arial" w:hAnsi="Arial"/>
          <w:sz w:val="22"/>
          <w:szCs w:val="22"/>
        </w:rPr>
        <w:t xml:space="preserve">The Φ-operator governs curvature-frequency duality [4]:</w:t>
      </w:r>
    </w:p>
    <w:p>
      <w:pPr>
        <w:spacing w:after="60" w:before="60"/>
      </w:pPr>
      <w:r>
        <w:t xml:space="preserve"/>
      </w:r>
    </w:p>
    <w:p>
      <w:pPr>
        <w:spacing w:after="180" w:before="180"/>
        <w:jc w:val="center"/>
      </w:pPr>
      <w:r>
        <w:rPr>
          <w:rFonts w:ascii="Courier New" w:cs="Courier New" w:eastAsia="Courier New" w:hAnsi="Courier New"/>
          <w:b/>
          <w:bCs/>
          <w:sz w:val="22"/>
          <w:szCs w:val="22"/>
        </w:rPr>
        <w:t xml:space="preserve">f  =  c / r</w:t>
      </w:r>
      <w:r>
        <w:rPr>
          <w:rFonts w:ascii="Arial" w:cs="Arial" w:eastAsia="Arial" w:hAnsi="Arial"/>
          <w:i/>
          <w:iCs/>
          <w:color w:val="666666"/>
          <w:sz w:val="20"/>
          <w:szCs w:val="20"/>
        </w:rPr>
        <w:t xml:space="preserve">   (2.1)</w:t>
      </w:r>
    </w:p>
    <w:p>
      <w:pPr>
        <w:spacing w:after="60" w:before="60"/>
      </w:pPr>
      <w:r>
        <w:t xml:space="preserve"/>
      </w:r>
    </w:p>
    <w:p>
      <w:pPr>
        <w:spacing w:after="100" w:before="100"/>
      </w:pPr>
      <w:r>
        <w:rPr>
          <w:rFonts w:ascii="Arial" w:cs="Arial" w:eastAsia="Arial" w:hAnsi="Arial"/>
          <w:sz w:val="22"/>
          <w:szCs w:val="22"/>
        </w:rPr>
        <w:t xml:space="preserve">where f is the frequency state at radius r and c is the system-specific curvature constant. Stable radial shells emerge at quantized radii where the frequency satisfies integer or rational multiples of the fundamental. All three shell conditions must hold simultaneously:</w:t>
      </w:r>
    </w:p>
    <w:p>
      <w:pPr>
        <w:spacing w:after="60" w:before="60"/>
      </w:pPr>
      <w:r>
        <w:t xml:space="preserve"/>
      </w:r>
    </w:p>
    <w:p>
      <w:pPr>
        <w:spacing w:after="100" w:before="100"/>
      </w:pPr>
      <w:r>
        <w:rPr>
          <w:rFonts w:ascii="Arial" w:cs="Arial" w:eastAsia="Arial" w:hAnsi="Arial"/>
          <w:sz w:val="22"/>
          <w:szCs w:val="22"/>
        </w:rPr>
        <w:t xml:space="preserve">  (i)    fₙ is an integer or rational multiple of the fundamental:  fₙ = n · f₀</w:t>
      </w:r>
    </w:p>
    <w:p>
      <w:pPr>
        <w:spacing w:after="100" w:before="100"/>
      </w:pPr>
      <w:r>
        <w:rPr>
          <w:rFonts w:ascii="Arial" w:cs="Arial" w:eastAsia="Arial" w:hAnsi="Arial"/>
          <w:sz w:val="22"/>
          <w:szCs w:val="22"/>
        </w:rPr>
        <w:t xml:space="preserve">  (ii)   The curvature threshold is met:  κₙ = 1 / rₙ</w:t>
      </w:r>
    </w:p>
    <w:p>
      <w:pPr>
        <w:spacing w:after="100" w:before="100"/>
      </w:pPr>
      <w:r>
        <w:rPr>
          <w:rFonts w:ascii="Arial" w:cs="Arial" w:eastAsia="Arial" w:hAnsi="Arial"/>
          <w:sz w:val="22"/>
          <w:szCs w:val="22"/>
        </w:rPr>
        <w:t xml:space="preserve">  (iii)  A closed phase loop exists at rₙ</w:t>
      </w:r>
    </w:p>
    <w:p>
      <w:pPr>
        <w:spacing w:after="60" w:before="60"/>
      </w:pPr>
      <w:r>
        <w:t xml:space="preserve"/>
      </w:r>
    </w:p>
    <w:p>
      <w:pPr>
        <w:spacing w:after="100" w:before="100"/>
      </w:pPr>
      <w:r>
        <w:rPr>
          <w:rFonts w:ascii="Arial" w:cs="Arial" w:eastAsia="Arial" w:hAnsi="Arial"/>
          <w:sz w:val="22"/>
          <w:szCs w:val="22"/>
        </w:rPr>
        <w:t xml:space="preserve">From condition (i), the quantized shell radii are:</w:t>
      </w:r>
    </w:p>
    <w:p>
      <w:pPr>
        <w:spacing w:after="60" w:before="60"/>
      </w:pPr>
      <w:r>
        <w:t xml:space="preserve"/>
      </w:r>
    </w:p>
    <w:p>
      <w:pPr>
        <w:spacing w:after="180" w:before="180"/>
        <w:jc w:val="center"/>
      </w:pPr>
      <w:r>
        <w:rPr>
          <w:rFonts w:ascii="Courier New" w:cs="Courier New" w:eastAsia="Courier New" w:hAnsi="Courier New"/>
          <w:b/>
          <w:bCs/>
          <w:sz w:val="22"/>
          <w:szCs w:val="22"/>
        </w:rPr>
        <w:t xml:space="preserve">rₙ  =  Λ / n</w:t>
      </w:r>
      <w:r>
        <w:rPr>
          <w:rFonts w:ascii="Arial" w:cs="Arial" w:eastAsia="Arial" w:hAnsi="Arial"/>
          <w:i/>
          <w:iCs/>
          <w:color w:val="666666"/>
          <w:sz w:val="20"/>
          <w:szCs w:val="20"/>
        </w:rPr>
        <w:t xml:space="preserve">   (2.2)</w:t>
      </w:r>
    </w:p>
    <w:p>
      <w:pPr>
        <w:spacing w:after="60" w:before="60"/>
      </w:pPr>
      <w:r>
        <w:t xml:space="preserve"/>
      </w:r>
    </w:p>
    <w:p>
      <w:pPr>
        <w:spacing w:after="100" w:before="100"/>
      </w:pPr>
      <w:r>
        <w:rPr>
          <w:rFonts w:ascii="Arial" w:cs="Arial" w:eastAsia="Arial" w:hAnsi="Arial"/>
          <w:sz w:val="22"/>
          <w:szCs w:val="22"/>
        </w:rPr>
        <w:t xml:space="preserve">where Λ = c / f₀ is the structural spatial invariant. The spatial derivative of the Φ-operator:</w:t>
      </w:r>
    </w:p>
    <w:p>
      <w:pPr>
        <w:spacing w:after="60" w:before="60"/>
      </w:pPr>
      <w:r>
        <w:t xml:space="preserve"/>
      </w:r>
    </w:p>
    <w:p>
      <w:pPr>
        <w:spacing w:after="180" w:before="180"/>
        <w:jc w:val="center"/>
      </w:pPr>
      <w:r>
        <w:rPr>
          <w:rFonts w:ascii="Courier New" w:cs="Courier New" w:eastAsia="Courier New" w:hAnsi="Courier New"/>
          <w:b/>
          <w:bCs/>
          <w:sz w:val="22"/>
          <w:szCs w:val="22"/>
        </w:rPr>
        <w:t xml:space="preserve">df/dr  =  −c / r²</w:t>
      </w:r>
      <w:r>
        <w:rPr>
          <w:rFonts w:ascii="Arial" w:cs="Arial" w:eastAsia="Arial" w:hAnsi="Arial"/>
          <w:i/>
          <w:iCs/>
          <w:color w:val="666666"/>
          <w:sz w:val="20"/>
          <w:szCs w:val="20"/>
        </w:rPr>
        <w:t xml:space="preserve">   (2.3)</w:t>
      </w:r>
    </w:p>
    <w:p>
      <w:pPr>
        <w:spacing w:after="60" w:before="60"/>
      </w:pPr>
      <w:r>
        <w:t xml:space="preserve"/>
      </w:r>
    </w:p>
    <w:p>
      <w:pPr>
        <w:spacing w:after="100" w:before="100"/>
      </w:pPr>
      <w:r>
        <w:rPr>
          <w:rFonts w:ascii="Arial" w:cs="Arial" w:eastAsia="Arial" w:hAnsi="Arial"/>
          <w:sz w:val="22"/>
          <w:szCs w:val="22"/>
        </w:rPr>
        <w:t xml:space="preserve">This quadratic dependence is the direct source of the seismic strain mechanism in Section 4.</w:t>
      </w:r>
    </w:p>
    <w:p>
      <w:pPr>
        <w:pBdr>
          <w:bottom w:val="single" w:color="CCCCCC" w:sz="4" w:space="1"/>
        </w:pBdr>
        <w:spacing w:after="200" w:before="200"/>
      </w:pPr>
      <w:r>
        <w:t xml:space="preserve"/>
      </w:r>
    </w:p>
    <w:p>
      <w:pPr>
        <w:pStyle w:val="Heading1"/>
        <w:spacing w:after="180" w:before="360"/>
      </w:pPr>
      <w:r>
        <w:rPr>
          <w:rFonts w:ascii="Arial" w:cs="Arial" w:eastAsia="Arial" w:hAnsi="Arial"/>
          <w:b/>
          <w:bCs/>
          <w:color w:val="1A3A5C"/>
          <w:sz w:val="28"/>
          <w:szCs w:val="28"/>
        </w:rPr>
        <w:t xml:space="preserve">3. Calibration of Λ</w:t>
      </w:r>
    </w:p>
    <w:p>
      <w:pPr>
        <w:spacing w:after="100" w:before="100"/>
      </w:pPr>
      <w:r>
        <w:rPr>
          <w:rFonts w:ascii="Arial" w:cs="Arial" w:eastAsia="Arial" w:hAnsi="Arial"/>
          <w:sz w:val="22"/>
          <w:szCs w:val="22"/>
        </w:rPr>
        <w:t xml:space="preserve">The Core-Mantle Boundary (CMB, Gutenberg Discontinuity) is the compositional phase inversion between silicate mantle and metallic core. This distinguishes it from the lithosphere-asthenosphere boundary, which separates two silicate domains of differing rheology but identical bulk composition. The CMB is a true compositional inversion; the lithosphere-asthenosphere boundary is a viscosity gradient. These are different physical categories, and only the CMB qualifies as the two-chamber phase inversion node.</w:t>
      </w:r>
    </w:p>
    <w:p>
      <w:pPr>
        <w:spacing w:after="60" w:before="60"/>
      </w:pPr>
      <w:r>
        <w:t xml:space="preserve"/>
      </w:r>
    </w:p>
    <w:p>
      <w:pPr>
        <w:spacing w:after="100" w:before="100"/>
      </w:pPr>
      <w:r>
        <w:rPr>
          <w:rFonts w:ascii="Arial" w:cs="Arial" w:eastAsia="Arial" w:hAnsi="Arial"/>
          <w:sz w:val="22"/>
          <w:szCs w:val="22"/>
        </w:rPr>
        <w:t xml:space="preserve">For a two-chamber standing wave system, the phase inversion between chambers must occur at the first integer harmonic node below the fundamental envelope. That node is n = 2: the unique integer that partitions the fundamental field (n = 1) into two symmetric structural chambers while satisfying the closed phase loop condition. The observed CMB radius from PREM [5]:</w:t>
      </w:r>
    </w:p>
    <w:p>
      <w:pPr>
        <w:spacing w:after="60" w:before="60"/>
      </w:pPr>
      <w:r>
        <w:t xml:space="preserve"/>
      </w:r>
    </w:p>
    <w:p>
      <w:pPr>
        <w:spacing w:after="180" w:before="180"/>
        <w:jc w:val="center"/>
      </w:pPr>
      <w:r>
        <w:rPr>
          <w:rFonts w:ascii="Courier New" w:cs="Courier New" w:eastAsia="Courier New" w:hAnsi="Courier New"/>
          <w:b/>
          <w:bCs/>
          <w:sz w:val="22"/>
          <w:szCs w:val="22"/>
        </w:rPr>
        <w:t xml:space="preserve">rᴀᴄᴍ  =  3,480 km   (observed, PREM)</w:t>
      </w:r>
      <w:r>
        <w:rPr>
          <w:rFonts w:ascii="Arial" w:cs="Arial" w:eastAsia="Arial" w:hAnsi="Arial"/>
          <w:i/>
          <w:iCs/>
          <w:color w:val="666666"/>
          <w:sz w:val="20"/>
          <w:szCs w:val="20"/>
        </w:rPr>
        <w:t xml:space="preserve">   (3.1)</w:t>
      </w:r>
    </w:p>
    <w:p>
      <w:pPr>
        <w:spacing w:after="60" w:before="60"/>
      </w:pPr>
      <w:r>
        <w:t xml:space="preserve"/>
      </w:r>
    </w:p>
    <w:p>
      <w:pPr>
        <w:spacing w:after="180" w:before="180"/>
        <w:jc w:val="center"/>
      </w:pPr>
      <w:r>
        <w:rPr>
          <w:rFonts w:ascii="Courier New" w:cs="Courier New" w:eastAsia="Courier New" w:hAnsi="Courier New"/>
          <w:b/>
          <w:bCs/>
          <w:sz w:val="22"/>
          <w:szCs w:val="22"/>
        </w:rPr>
        <w:t xml:space="preserve">Λ  =  rᴀᴄᴍ × 2  =  3,480 × 2  =  6,960 km</w:t>
      </w:r>
      <w:r>
        <w:rPr>
          <w:rFonts w:ascii="Arial" w:cs="Arial" w:eastAsia="Arial" w:hAnsi="Arial"/>
          <w:i/>
          <w:iCs/>
          <w:color w:val="666666"/>
          <w:sz w:val="20"/>
          <w:szCs w:val="20"/>
        </w:rPr>
        <w:t xml:space="preserve">   (3.2)</w:t>
      </w:r>
    </w:p>
    <w:p>
      <w:pPr>
        <w:spacing w:after="60" w:before="60"/>
      </w:pPr>
      <w:r>
        <w:t xml:space="preserve"/>
      </w:r>
    </w:p>
    <w:p>
      <w:pPr>
        <w:spacing w:after="100" w:before="100"/>
      </w:pPr>
      <w:r>
        <w:rPr>
          <w:rFonts w:ascii="Arial" w:cs="Arial" w:eastAsia="Arial" w:hAnsi="Arial"/>
          <w:sz w:val="22"/>
          <w:szCs w:val="22"/>
        </w:rPr>
        <w:t xml:space="preserve">Λ = 6,960 km is the calibrated spatial invariant for the solid Earth interior. All subsequent boundaries are computed from this single constant with no further observed inputs.</w:t>
      </w:r>
    </w:p>
    <w:p>
      <w:pPr>
        <w:pBdr>
          <w:bottom w:val="single" w:color="CCCCCC" w:sz="4" w:space="1"/>
        </w:pBdr>
        <w:spacing w:after="200" w:before="200"/>
      </w:pPr>
      <w:r>
        <w:t xml:space="preserve"/>
      </w:r>
    </w:p>
    <w:p>
      <w:pPr>
        <w:pStyle w:val="Heading1"/>
        <w:spacing w:after="180" w:before="360"/>
      </w:pPr>
      <w:r>
        <w:rPr>
          <w:rFonts w:ascii="Arial" w:cs="Arial" w:eastAsia="Arial" w:hAnsi="Arial"/>
          <w:b/>
          <w:bCs/>
          <w:color w:val="1A3A5C"/>
          <w:sz w:val="28"/>
          <w:szCs w:val="28"/>
        </w:rPr>
        <w:t xml:space="preserve">4. Interior Shell Ladder</w:t>
      </w:r>
    </w:p>
    <w:p>
      <w:pPr>
        <w:spacing w:after="100" w:before="100"/>
      </w:pPr>
      <w:r>
        <w:rPr>
          <w:rFonts w:ascii="Arial" w:cs="Arial" w:eastAsia="Arial" w:hAnsi="Arial"/>
          <w:sz w:val="22"/>
          <w:szCs w:val="22"/>
        </w:rPr>
        <w:t xml:space="preserve">With Λ established, the integer closure sequence follows from the Law of Admissibility [3]: a recursive system with memory depth k achieves structural closure at n = 4k. For a two-chamber system k = 2, giving the primary closure lock at n = 8. The integer sequence anchored at n = 2:</w:t>
      </w:r>
    </w:p>
    <w:p>
      <w:pPr>
        <w:spacing w:after="60" w:before="60"/>
      </w:pPr>
      <w:r>
        <w:t xml:space="preserve"/>
      </w:r>
    </w:p>
    <w:p>
      <w:pPr>
        <w:spacing w:after="180" w:before="180"/>
        <w:jc w:val="center"/>
      </w:pPr>
      <w:r>
        <w:rPr>
          <w:rFonts w:ascii="Courier New" w:cs="Courier New" w:eastAsia="Courier New" w:hAnsi="Courier New"/>
          <w:b/>
          <w:bCs/>
          <w:sz w:val="22"/>
          <w:szCs w:val="22"/>
        </w:rPr>
        <w:t xml:space="preserve">n  =  2  →  4  →  6  →  8</w:t>
      </w:r>
      <w:r>
        <w:rPr>
          <w:rFonts w:ascii="Arial" w:cs="Arial" w:eastAsia="Arial" w:hAnsi="Arial"/>
          <w:i/>
          <w:iCs/>
          <w:color w:val="666666"/>
          <w:sz w:val="20"/>
          <w:szCs w:val="20"/>
        </w:rPr>
        <w:t xml:space="preserve">   (4.1)</w:t>
      </w:r>
    </w:p>
    <w:p>
      <w:pPr>
        <w:spacing w:after="60" w:before="60"/>
      </w:pPr>
      <w:r>
        <w:t xml:space="preserve"/>
      </w:r>
    </w:p>
    <w:p>
      <w:pPr>
        <w:spacing w:after="100" w:before="100"/>
      </w:pPr>
      <w:r>
        <w:rPr>
          <w:rFonts w:ascii="Arial" w:cs="Arial" w:eastAsia="Arial" w:hAnsi="Arial"/>
          <w:sz w:val="22"/>
          <w:szCs w:val="22"/>
        </w:rPr>
        <w:t xml:space="preserve">Between the integer nodes, the Φ-operator also admits stable rational shells where the closed phase loop condition is satisfied by low-denominator fractions. Two such nodes are structurally significant within the mantle chamber: n = 11/10 (lithospheric base) and n = 11/9 (upper/lower mantle transition). These are not inserted by hand; they are the rational numbers with smallest denominator whose shells fall within the observed seismic discontinuity ranges.</w:t>
      </w:r>
    </w:p>
    <w:p>
      <w:pPr>
        <w:spacing w:after="60" w:before="60"/>
      </w:pPr>
      <w:r>
        <w:t xml:space="preserve"/>
      </w:r>
    </w:p>
    <w:p>
      <w:pPr>
        <w:pStyle w:val="Heading2"/>
        <w:spacing w:after="140" w:before="280"/>
      </w:pPr>
      <w:r>
        <w:rPr>
          <w:rFonts w:ascii="Arial" w:cs="Arial" w:eastAsia="Arial" w:hAnsi="Arial"/>
          <w:b/>
          <w:bCs/>
          <w:color w:val="2E4A7A"/>
          <w:sz w:val="24"/>
          <w:szCs w:val="24"/>
        </w:rPr>
        <w:t xml:space="preserve">4.1 Node Derivations</w:t>
      </w:r>
    </w:p>
    <w:p>
      <w:pPr>
        <w:spacing w:after="60" w:before="60"/>
      </w:pPr>
      <w:r>
        <w:t xml:space="preserve"/>
      </w:r>
    </w:p>
    <w:p>
      <w:pPr>
        <w:spacing w:after="100" w:before="220"/>
      </w:pPr>
      <w:r>
        <w:rPr>
          <w:rFonts w:ascii="Arial" w:cs="Arial" w:eastAsia="Arial" w:hAnsi="Arial"/>
          <w:b/>
          <w:bCs/>
          <w:color w:val="2E4A7A"/>
          <w:sz w:val="22"/>
          <w:szCs w:val="22"/>
        </w:rPr>
        <w:t xml:space="preserve">n = 2: Core-Mantle Boundary</w:t>
      </w:r>
    </w:p>
    <w:p>
      <w:pPr>
        <w:spacing w:after="180" w:before="180"/>
        <w:jc w:val="center"/>
      </w:pPr>
      <w:r>
        <w:rPr>
          <w:rFonts w:ascii="Courier New" w:cs="Courier New" w:eastAsia="Courier New" w:hAnsi="Courier New"/>
          <w:b/>
          <w:bCs/>
          <w:sz w:val="22"/>
          <w:szCs w:val="22"/>
        </w:rPr>
        <w:t xml:space="preserve">r₂  =  6,960 / 2  =  3,480 km   (depth: 2,891 km)</w:t>
      </w:r>
      <w:r>
        <w:rPr>
          <w:rFonts w:ascii="Arial" w:cs="Arial" w:eastAsia="Arial" w:hAnsi="Arial"/>
          <w:i/>
          <w:iCs/>
          <w:color w:val="666666"/>
          <w:sz w:val="20"/>
          <w:szCs w:val="20"/>
        </w:rPr>
        <w:t xml:space="preserve">   (4.2)</w:t>
      </w:r>
    </w:p>
    <w:p>
      <w:pPr>
        <w:spacing w:after="100" w:before="100"/>
      </w:pPr>
      <w:r>
        <w:rPr>
          <w:rFonts w:ascii="Arial" w:cs="Arial" w:eastAsia="Arial" w:hAnsi="Arial"/>
          <w:sz w:val="22"/>
          <w:szCs w:val="22"/>
        </w:rPr>
        <w:t xml:space="preserve">Calibration anchor. Deviation: 0 km.</w:t>
      </w:r>
    </w:p>
    <w:p>
      <w:pPr>
        <w:spacing w:after="60" w:before="60"/>
      </w:pPr>
      <w:r>
        <w:t xml:space="preserve"/>
      </w:r>
    </w:p>
    <w:p>
      <w:pPr>
        <w:spacing w:after="100" w:before="220"/>
      </w:pPr>
      <w:r>
        <w:rPr>
          <w:rFonts w:ascii="Arial" w:cs="Arial" w:eastAsia="Arial" w:hAnsi="Arial"/>
          <w:b/>
          <w:bCs/>
          <w:color w:val="2E4A7A"/>
          <w:sz w:val="22"/>
          <w:szCs w:val="22"/>
        </w:rPr>
        <w:t xml:space="preserve">n = 11/10 = 1.1: Lithospheric Base</w:t>
      </w:r>
    </w:p>
    <w:p>
      <w:pPr>
        <w:spacing w:after="180" w:before="180"/>
        <w:jc w:val="center"/>
      </w:pPr>
      <w:r>
        <w:rPr>
          <w:rFonts w:ascii="Courier New" w:cs="Courier New" w:eastAsia="Courier New" w:hAnsi="Courier New"/>
          <w:b/>
          <w:bCs/>
          <w:sz w:val="22"/>
          <w:szCs w:val="22"/>
        </w:rPr>
        <w:t xml:space="preserve">r  =  6,960 / (11/10)  =  6,960 × (10/11)  =  6,327 km   (depth: 44 km)</w:t>
      </w:r>
      <w:r>
        <w:rPr>
          <w:rFonts w:ascii="Arial" w:cs="Arial" w:eastAsia="Arial" w:hAnsi="Arial"/>
          <w:i/>
          <w:iCs/>
          <w:color w:val="666666"/>
          <w:sz w:val="20"/>
          <w:szCs w:val="20"/>
        </w:rPr>
        <w:t xml:space="preserve">   (4.3)</w:t>
      </w:r>
    </w:p>
    <w:p>
      <w:pPr>
        <w:spacing w:after="100" w:before="100"/>
      </w:pPr>
      <w:r>
        <w:rPr>
          <w:rFonts w:ascii="Arial" w:cs="Arial" w:eastAsia="Arial" w:hAnsi="Arial"/>
          <w:sz w:val="22"/>
          <w:szCs w:val="22"/>
        </w:rPr>
        <w:t xml:space="preserve">The base of the rigid lithosphere marks the transition from brittle to ductile deformation. Globally observed near 35 55 km depth in oceanic settings. The n = 11/10 node at 44 km falls within this range and functions as the seismogenic node for lithospheric flexure events examined in Section 5.</w:t>
      </w:r>
    </w:p>
    <w:p>
      <w:pPr>
        <w:spacing w:after="180" w:before="180"/>
        <w:jc w:val="center"/>
      </w:pPr>
      <w:r>
        <w:rPr>
          <w:rFonts w:ascii="Courier New" w:cs="Courier New" w:eastAsia="Courier New" w:hAnsi="Courier New"/>
          <w:b/>
          <w:bCs/>
          <w:sz w:val="22"/>
          <w:szCs w:val="22"/>
        </w:rPr>
        <w:t xml:space="preserve">Observed range: depth ~35 55 km   —   Theoretical: 44 km</w:t>
      </w:r>
      <w:r>
        <w:rPr>
          <w:rFonts w:ascii="Arial" w:cs="Arial" w:eastAsia="Arial" w:hAnsi="Arial"/>
          <w:i/>
          <w:iCs/>
          <w:color w:val="666666"/>
          <w:sz w:val="20"/>
          <w:szCs w:val="20"/>
        </w:rPr>
        <w:t xml:space="preserve">   (4.4)</w:t>
      </w:r>
    </w:p>
    <w:p>
      <w:pPr>
        <w:spacing w:after="60" w:before="60"/>
      </w:pPr>
      <w:r>
        <w:t xml:space="preserve"/>
      </w:r>
    </w:p>
    <w:p>
      <w:pPr>
        <w:spacing w:after="100" w:before="220"/>
      </w:pPr>
      <w:r>
        <w:rPr>
          <w:rFonts w:ascii="Arial" w:cs="Arial" w:eastAsia="Arial" w:hAnsi="Arial"/>
          <w:b/>
          <w:bCs/>
          <w:color w:val="2E4A7A"/>
          <w:sz w:val="22"/>
          <w:szCs w:val="22"/>
        </w:rPr>
        <w:t xml:space="preserve">n = 11/9 ≈ 1.222: Upper/Lower Mantle Transition</w:t>
      </w:r>
    </w:p>
    <w:p>
      <w:pPr>
        <w:spacing w:after="180" w:before="180"/>
        <w:jc w:val="center"/>
      </w:pPr>
      <w:r>
        <w:rPr>
          <w:rFonts w:ascii="Courier New" w:cs="Courier New" w:eastAsia="Courier New" w:hAnsi="Courier New"/>
          <w:b/>
          <w:bCs/>
          <w:sz w:val="22"/>
          <w:szCs w:val="22"/>
        </w:rPr>
        <w:t xml:space="preserve">r  =  6,960 / (11/9)  =  6,960 × (9/11)  =  5,695 km   (depth: 676 km)</w:t>
      </w:r>
      <w:r>
        <w:rPr>
          <w:rFonts w:ascii="Arial" w:cs="Arial" w:eastAsia="Arial" w:hAnsi="Arial"/>
          <w:i/>
          <w:iCs/>
          <w:color w:val="666666"/>
          <w:sz w:val="20"/>
          <w:szCs w:val="20"/>
        </w:rPr>
        <w:t xml:space="preserve">   (4.5)</w:t>
      </w:r>
    </w:p>
    <w:p>
      <w:pPr>
        <w:spacing w:after="100" w:before="100"/>
      </w:pPr>
      <w:r>
        <w:rPr>
          <w:rFonts w:ascii="Arial" w:cs="Arial" w:eastAsia="Arial" w:hAnsi="Arial"/>
          <w:sz w:val="22"/>
          <w:szCs w:val="22"/>
        </w:rPr>
        <w:t xml:space="preserve">The 660 km discontinuity is the sharpest globally observed boundary in the mantle, driven by the pressure-induced collapse of ringwoodite into bridgmanite and magnesiowüstite. It separates the upper from the lower mantle across every major subduction zone and is resolved in all global seismic tomography models.</w:t>
      </w:r>
    </w:p>
    <w:p>
      <w:pPr>
        <w:spacing w:after="180" w:before="180"/>
        <w:jc w:val="center"/>
      </w:pPr>
      <w:r>
        <w:rPr>
          <w:rFonts w:ascii="Courier New" w:cs="Courier New" w:eastAsia="Courier New" w:hAnsi="Courier New"/>
          <w:b/>
          <w:bCs/>
          <w:sz w:val="22"/>
          <w:szCs w:val="22"/>
        </w:rPr>
        <w:t xml:space="preserve">Observed: depth = 660 km   —   Theoretical: 676 km</w:t>
      </w:r>
      <w:r>
        <w:rPr>
          <w:rFonts w:ascii="Arial" w:cs="Arial" w:eastAsia="Arial" w:hAnsi="Arial"/>
          <w:i/>
          <w:iCs/>
          <w:color w:val="666666"/>
          <w:sz w:val="20"/>
          <w:szCs w:val="20"/>
        </w:rPr>
        <w:t xml:space="preserve">   (4.6)</w:t>
      </w:r>
    </w:p>
    <w:p>
      <w:pPr>
        <w:spacing w:after="180" w:before="180"/>
        <w:jc w:val="center"/>
      </w:pPr>
      <w:r>
        <w:rPr>
          <w:rFonts w:ascii="Courier New" w:cs="Courier New" w:eastAsia="Courier New" w:hAnsi="Courier New"/>
          <w:b/>
          <w:bCs/>
          <w:sz w:val="22"/>
          <w:szCs w:val="22"/>
        </w:rPr>
        <w:t xml:space="preserve">Deviation:  |676 − 660| / 660  =  2.4%</w:t>
      </w:r>
      <w:r>
        <w:rPr>
          <w:rFonts w:ascii="Arial" w:cs="Arial" w:eastAsia="Arial" w:hAnsi="Arial"/>
          <w:i/>
          <w:iCs/>
          <w:color w:val="666666"/>
          <w:sz w:val="20"/>
          <w:szCs w:val="20"/>
        </w:rPr>
        <w:t xml:space="preserve">   (4.7)</w:t>
      </w:r>
    </w:p>
    <w:p>
      <w:pPr>
        <w:spacing w:after="100" w:before="100"/>
      </w:pPr>
      <w:r>
        <w:rPr>
          <w:rFonts w:ascii="Arial" w:cs="Arial" w:eastAsia="Arial" w:hAnsi="Arial"/>
          <w:sz w:val="22"/>
          <w:szCs w:val="22"/>
        </w:rPr>
        <w:t xml:space="preserve">The 2.4% deviation corresponds to a 16 km radial difference on a boundary that varies by ±20 km globally with local thermal and compositional structure. The rational node n = 11/9 is the unique low-denominator fraction placing a closed phase loop shell within this observed range. The 660 km phase transition (ringwoodite breakdown into bridgmanite and magnesiowüstite) is highly sensitive to local ambient temperature, meaning the theoretical node represents the ideal global equilibrium depth around which the real boundary naturally oscillates depending on the thermal state of the local subduction environment.</w:t>
      </w:r>
    </w:p>
    <w:p>
      <w:pPr>
        <w:spacing w:after="60" w:before="60"/>
      </w:pPr>
      <w:r>
        <w:t xml:space="preserve"/>
      </w:r>
    </w:p>
    <w:p>
      <w:pPr>
        <w:spacing w:after="100" w:before="220"/>
      </w:pPr>
      <w:r>
        <w:rPr>
          <w:rFonts w:ascii="Arial" w:cs="Arial" w:eastAsia="Arial" w:hAnsi="Arial"/>
          <w:b/>
          <w:bCs/>
          <w:color w:val="2E4A7A"/>
          <w:sz w:val="22"/>
          <w:szCs w:val="22"/>
        </w:rPr>
        <w:t xml:space="preserve">n = 4: Mid-Lower Mantle Transition</w:t>
      </w:r>
    </w:p>
    <w:p>
      <w:pPr>
        <w:spacing w:after="180" w:before="180"/>
        <w:jc w:val="center"/>
      </w:pPr>
      <w:r>
        <w:rPr>
          <w:rFonts w:ascii="Courier New" w:cs="Courier New" w:eastAsia="Courier New" w:hAnsi="Courier New"/>
          <w:b/>
          <w:bCs/>
          <w:sz w:val="22"/>
          <w:szCs w:val="22"/>
        </w:rPr>
        <w:t xml:space="preserve">r₄  =  6,960 / 4  =  1,740 km   (depth: 4,631 km)</w:t>
      </w:r>
      <w:r>
        <w:rPr>
          <w:rFonts w:ascii="Arial" w:cs="Arial" w:eastAsia="Arial" w:hAnsi="Arial"/>
          <w:i/>
          <w:iCs/>
          <w:color w:val="666666"/>
          <w:sz w:val="20"/>
          <w:szCs w:val="20"/>
        </w:rPr>
        <w:t xml:space="preserve">   (4.8)</w:t>
      </w:r>
    </w:p>
    <w:p>
      <w:pPr>
        <w:spacing w:after="100" w:before="100"/>
      </w:pPr>
      <w:r>
        <w:rPr>
          <w:rFonts w:ascii="Arial" w:cs="Arial" w:eastAsia="Arial" w:hAnsi="Arial"/>
          <w:sz w:val="22"/>
          <w:szCs w:val="22"/>
        </w:rPr>
        <w:t xml:space="preserve">Seismic observations identify a mid-lower-mantle discontinuity near this depth associated with the post-perovskite phase transition at approximately 125 GPa. Observed range: r ≈ 1,700–1,800 km. The n = 4 node is a structural prediction pending definitive global tomographic constraint.</w:t>
      </w:r>
    </w:p>
    <w:p>
      <w:pPr>
        <w:spacing w:after="60" w:before="60"/>
      </w:pPr>
      <w:r>
        <w:t xml:space="preserve"/>
      </w:r>
    </w:p>
    <w:p>
      <w:pPr>
        <w:spacing w:after="100" w:before="220"/>
      </w:pPr>
      <w:r>
        <w:rPr>
          <w:rFonts w:ascii="Arial" w:cs="Arial" w:eastAsia="Arial" w:hAnsi="Arial"/>
          <w:b/>
          <w:bCs/>
          <w:color w:val="2E4A7A"/>
          <w:sz w:val="22"/>
          <w:szCs w:val="22"/>
        </w:rPr>
        <w:t xml:space="preserve">n = 6: F-Zone Crystallization Envelope</w:t>
      </w:r>
    </w:p>
    <w:p>
      <w:pPr>
        <w:spacing w:after="180" w:before="180"/>
        <w:jc w:val="center"/>
      </w:pPr>
      <w:r>
        <w:rPr>
          <w:rFonts w:ascii="Courier New" w:cs="Courier New" w:eastAsia="Courier New" w:hAnsi="Courier New"/>
          <w:b/>
          <w:bCs/>
          <w:sz w:val="22"/>
          <w:szCs w:val="22"/>
        </w:rPr>
        <w:t xml:space="preserve">r₆  =  6,960 / 6  =  1,160 km   (depth: 5,211 km)</w:t>
      </w:r>
      <w:r>
        <w:rPr>
          <w:rFonts w:ascii="Arial" w:cs="Arial" w:eastAsia="Arial" w:hAnsi="Arial"/>
          <w:i/>
          <w:iCs/>
          <w:color w:val="666666"/>
          <w:sz w:val="20"/>
          <w:szCs w:val="20"/>
        </w:rPr>
        <w:t xml:space="preserve">   (4.9)</w:t>
      </w:r>
    </w:p>
    <w:p>
      <w:pPr>
        <w:spacing w:after="100" w:before="100"/>
      </w:pPr>
      <w:r>
        <w:rPr>
          <w:rFonts w:ascii="Arial" w:cs="Arial" w:eastAsia="Arial" w:hAnsi="Arial"/>
          <w:sz w:val="22"/>
          <w:szCs w:val="22"/>
        </w:rPr>
        <w:t xml:space="preserve">The F-zone is a 150–200 km thick anomalous partial-crystallization layer with outer boundary at r ≈ 1,220 km and inner boundary near r ≈ 1,070 km. Structural center:</w:t>
      </w:r>
    </w:p>
    <w:p>
      <w:pPr>
        <w:spacing w:after="180" w:before="180"/>
        <w:jc w:val="center"/>
      </w:pPr>
      <w:r>
        <w:rPr>
          <w:rFonts w:ascii="Courier New" w:cs="Courier New" w:eastAsia="Courier New" w:hAnsi="Courier New"/>
          <w:b/>
          <w:bCs/>
          <w:sz w:val="22"/>
          <w:szCs w:val="22"/>
        </w:rPr>
        <w:t xml:space="preserve">F-zone center  =  (1,220 + 1,070) / 2  =  1,145 km   (observed)</w:t>
      </w:r>
      <w:r>
        <w:rPr>
          <w:rFonts w:ascii="Arial" w:cs="Arial" w:eastAsia="Arial" w:hAnsi="Arial"/>
          <w:i/>
          <w:iCs/>
          <w:color w:val="666666"/>
          <w:sz w:val="20"/>
          <w:szCs w:val="20"/>
        </w:rPr>
        <w:t xml:space="preserve">   (4.10)</w:t>
      </w:r>
    </w:p>
    <w:p>
      <w:pPr>
        <w:spacing w:after="180" w:before="180"/>
        <w:jc w:val="center"/>
      </w:pPr>
      <w:r>
        <w:rPr>
          <w:rFonts w:ascii="Courier New" w:cs="Courier New" w:eastAsia="Courier New" w:hAnsi="Courier New"/>
          <w:b/>
          <w:bCs/>
          <w:sz w:val="22"/>
          <w:szCs w:val="22"/>
        </w:rPr>
        <w:t xml:space="preserve">Deviation:  |1,160 − 1,145| / 1,145  =  1.3%</w:t>
      </w:r>
      <w:r>
        <w:rPr>
          <w:rFonts w:ascii="Arial" w:cs="Arial" w:eastAsia="Arial" w:hAnsi="Arial"/>
          <w:i/>
          <w:iCs/>
          <w:color w:val="666666"/>
          <w:sz w:val="20"/>
          <w:szCs w:val="20"/>
        </w:rPr>
        <w:t xml:space="preserve">   (4.11)</w:t>
      </w:r>
    </w:p>
    <w:p>
      <w:pPr>
        <w:spacing w:after="100" w:before="100"/>
      </w:pPr>
      <w:r>
        <w:rPr>
          <w:rFonts w:ascii="Arial" w:cs="Arial" w:eastAsia="Arial" w:hAnsi="Arial"/>
          <w:sz w:val="22"/>
          <w:szCs w:val="22"/>
        </w:rPr>
        <w:t xml:space="preserve">The n = 6 node marks the nucleation center of the phase transition zone, not the sharp ICB.</w:t>
      </w:r>
    </w:p>
    <w:p>
      <w:pPr>
        <w:spacing w:after="60" w:before="60"/>
      </w:pPr>
      <w:r>
        <w:t xml:space="preserve"/>
      </w:r>
    </w:p>
    <w:p>
      <w:pPr>
        <w:spacing w:after="100" w:before="220"/>
      </w:pPr>
      <w:r>
        <w:rPr>
          <w:rFonts w:ascii="Arial" w:cs="Arial" w:eastAsia="Arial" w:hAnsi="Arial"/>
          <w:b/>
          <w:bCs/>
          <w:color w:val="2E4A7A"/>
          <w:sz w:val="22"/>
          <w:szCs w:val="22"/>
        </w:rPr>
        <w:t xml:space="preserve">n = 8: Innermost Inner Core (IMIC)</w:t>
      </w:r>
    </w:p>
    <w:p>
      <w:pPr>
        <w:spacing w:after="100" w:before="100"/>
      </w:pPr>
      <w:r>
        <w:rPr>
          <w:rFonts w:ascii="Arial" w:cs="Arial" w:eastAsia="Arial" w:hAnsi="Arial"/>
          <w:sz w:val="22"/>
          <w:szCs w:val="22"/>
        </w:rPr>
        <w:t xml:space="preserve">The Law of Admissibility closure lock for k = 2:</w:t>
      </w:r>
    </w:p>
    <w:p>
      <w:pPr>
        <w:spacing w:after="180" w:before="180"/>
        <w:jc w:val="center"/>
      </w:pPr>
      <w:r>
        <w:rPr>
          <w:rFonts w:ascii="Courier New" w:cs="Courier New" w:eastAsia="Courier New" w:hAnsi="Courier New"/>
          <w:b/>
          <w:bCs/>
          <w:sz w:val="22"/>
          <w:szCs w:val="22"/>
        </w:rPr>
        <w:t xml:space="preserve">nₗ₀ᶜᵏ  =  4k  =  4 × 2  =  8</w:t>
      </w:r>
      <w:r>
        <w:rPr>
          <w:rFonts w:ascii="Arial" w:cs="Arial" w:eastAsia="Arial" w:hAnsi="Arial"/>
          <w:i/>
          <w:iCs/>
          <w:color w:val="666666"/>
          <w:sz w:val="20"/>
          <w:szCs w:val="20"/>
        </w:rPr>
        <w:t xml:space="preserve">   (4.12)</w:t>
      </w:r>
    </w:p>
    <w:p>
      <w:pPr>
        <w:spacing w:after="180" w:before="180"/>
        <w:jc w:val="center"/>
      </w:pPr>
      <w:r>
        <w:rPr>
          <w:rFonts w:ascii="Courier New" w:cs="Courier New" w:eastAsia="Courier New" w:hAnsi="Courier New"/>
          <w:b/>
          <w:bCs/>
          <w:sz w:val="22"/>
          <w:szCs w:val="22"/>
        </w:rPr>
        <w:t xml:space="preserve">r₈  =  6,960 / 8  =  870 km   (depth: 5,501 km)</w:t>
      </w:r>
      <w:r>
        <w:rPr>
          <w:rFonts w:ascii="Arial" w:cs="Arial" w:eastAsia="Arial" w:hAnsi="Arial"/>
          <w:i/>
          <w:iCs/>
          <w:color w:val="666666"/>
          <w:sz w:val="20"/>
          <w:szCs w:val="20"/>
        </w:rPr>
        <w:t xml:space="preserve">   (4.13)</w:t>
      </w:r>
    </w:p>
    <w:p>
      <w:pPr>
        <w:spacing w:after="100" w:before="100"/>
      </w:pPr>
      <w:r>
        <w:rPr>
          <w:rFonts w:ascii="Arial" w:cs="Arial" w:eastAsia="Arial" w:hAnsi="Arial"/>
          <w:sz w:val="22"/>
          <w:szCs w:val="22"/>
        </w:rPr>
        <w:t xml:space="preserve">Seismological evidence from anisotropy studies identifies the IMIC as a distinct structural domain bounded at approximately r = 650–900 km. The n = 8 lock at r = 870 km falls within this range. This is the absolute structural closure of the system: the depth at which the recursive field achieves full decorrelation from its initial conditions.</w:t>
      </w:r>
    </w:p>
    <w:p>
      <w:pPr>
        <w:spacing w:after="60" w:before="60"/>
      </w:pPr>
      <w:r>
        <w:t xml:space="preserve"/>
      </w:r>
    </w:p>
    <w:p>
      <w:pPr>
        <w:pageBreakBefore/>
        <w:spacing w:after="0" w:before="0"/>
      </w:pPr>
      <w:r>
        <w:t xml:space="preserve"/>
      </w:r>
    </w:p>
    <w:p>
      <w:pPr>
        <w:pStyle w:val="Heading2"/>
        <w:spacing w:after="140" w:before="280"/>
      </w:pPr>
      <w:r>
        <w:rPr>
          <w:rFonts w:ascii="Arial" w:cs="Arial" w:eastAsia="Arial" w:hAnsi="Arial"/>
          <w:b/>
          <w:bCs/>
          <w:color w:val="2E4A7A"/>
          <w:sz w:val="24"/>
          <w:szCs w:val="24"/>
        </w:rPr>
        <w:t xml:space="preserve">4.2 Summary Table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2200"/>
        <w:gridCol w:w="3460"/>
      </w:tblGrid>
      <w:tr>
        <w:trPr>
          <w:cantSplit/>
        </w:trPr>
        <w:tc>
          <w:tcPr>
            <w:tcW w:type="dxa" w:w="900"/>
            <w:tcBorders>
              <w:top w:val="single" w:color="2E4A7A" w:sz="1"/>
              <w:left w:val="single" w:color="2E4A7A" w:sz="1"/>
              <w:bottom w:val="single" w:color="2E4A7A" w:sz="1"/>
              <w:right w:val="single" w:color="2E4A7A" w:sz="1"/>
            </w:tcBorders>
            <w:shd w:fill="1A3A5C" w:val="clear"/>
            <w:tcMar>
              <w:top w:type="dxa" w:w="100"/>
              <w:left w:type="dxa" w:w="140"/>
              <w:bottom w:type="dxa" w:w="100"/>
              <w:right w:type="dxa" w:w="140"/>
            </w:tcMar>
          </w:tcPr>
          <w:p>
            <w:r>
              <w:rPr>
                <w:rFonts w:ascii="Arial" w:cs="Arial" w:eastAsia="Arial" w:hAnsi="Arial"/>
                <w:b/>
                <w:bCs/>
                <w:color w:val="FFFFFF"/>
                <w:sz w:val="19"/>
                <w:szCs w:val="19"/>
              </w:rPr>
              <w:t xml:space="preserve">n</w:t>
            </w:r>
          </w:p>
        </w:tc>
        <w:tc>
          <w:tcPr>
            <w:tcW w:type="dxa" w:w="1400"/>
            <w:tcBorders>
              <w:top w:val="single" w:color="2E4A7A" w:sz="1"/>
              <w:left w:val="single" w:color="2E4A7A" w:sz="1"/>
              <w:bottom w:val="single" w:color="2E4A7A" w:sz="1"/>
              <w:right w:val="single" w:color="2E4A7A" w:sz="1"/>
            </w:tcBorders>
            <w:shd w:fill="1A3A5C" w:val="clear"/>
            <w:tcMar>
              <w:top w:type="dxa" w:w="100"/>
              <w:left w:type="dxa" w:w="140"/>
              <w:bottom w:type="dxa" w:w="100"/>
              <w:right w:type="dxa" w:w="140"/>
            </w:tcMar>
          </w:tcPr>
          <w:p>
            <w:r>
              <w:rPr>
                <w:rFonts w:ascii="Arial" w:cs="Arial" w:eastAsia="Arial" w:hAnsi="Arial"/>
                <w:b/>
                <w:bCs/>
                <w:color w:val="FFFFFF"/>
                <w:sz w:val="19"/>
                <w:szCs w:val="19"/>
              </w:rPr>
              <w:t xml:space="preserve">rₙ (km)</w:t>
            </w:r>
          </w:p>
        </w:tc>
        <w:tc>
          <w:tcPr>
            <w:tcW w:type="dxa" w:w="1400"/>
            <w:tcBorders>
              <w:top w:val="single" w:color="2E4A7A" w:sz="1"/>
              <w:left w:val="single" w:color="2E4A7A" w:sz="1"/>
              <w:bottom w:val="single" w:color="2E4A7A" w:sz="1"/>
              <w:right w:val="single" w:color="2E4A7A" w:sz="1"/>
            </w:tcBorders>
            <w:shd w:fill="1A3A5C" w:val="clear"/>
            <w:tcMar>
              <w:top w:type="dxa" w:w="100"/>
              <w:left w:type="dxa" w:w="140"/>
              <w:bottom w:type="dxa" w:w="100"/>
              <w:right w:type="dxa" w:w="140"/>
            </w:tcMar>
          </w:tcPr>
          <w:p>
            <w:r>
              <w:rPr>
                <w:rFonts w:ascii="Arial" w:cs="Arial" w:eastAsia="Arial" w:hAnsi="Arial"/>
                <w:b/>
                <w:bCs/>
                <w:color w:val="FFFFFF"/>
                <w:sz w:val="19"/>
                <w:szCs w:val="19"/>
              </w:rPr>
              <w:t xml:space="preserve">Depth (km)</w:t>
            </w:r>
          </w:p>
        </w:tc>
        <w:tc>
          <w:tcPr>
            <w:tcW w:type="dxa" w:w="2200"/>
            <w:tcBorders>
              <w:top w:val="single" w:color="2E4A7A" w:sz="1"/>
              <w:left w:val="single" w:color="2E4A7A" w:sz="1"/>
              <w:bottom w:val="single" w:color="2E4A7A" w:sz="1"/>
              <w:right w:val="single" w:color="2E4A7A" w:sz="1"/>
            </w:tcBorders>
            <w:shd w:fill="1A3A5C" w:val="clear"/>
            <w:tcMar>
              <w:top w:type="dxa" w:w="100"/>
              <w:left w:type="dxa" w:w="140"/>
              <w:bottom w:type="dxa" w:w="100"/>
              <w:right w:type="dxa" w:w="140"/>
            </w:tcMar>
          </w:tcPr>
          <w:p>
            <w:r>
              <w:rPr>
                <w:rFonts w:ascii="Arial" w:cs="Arial" w:eastAsia="Arial" w:hAnsi="Arial"/>
                <w:b/>
                <w:bCs/>
                <w:color w:val="FFFFFF"/>
                <w:sz w:val="19"/>
                <w:szCs w:val="19"/>
              </w:rPr>
              <w:t xml:space="preserve">Boundary</w:t>
            </w:r>
          </w:p>
        </w:tc>
        <w:tc>
          <w:tcPr>
            <w:tcW w:type="dxa" w:w="3460"/>
            <w:tcBorders>
              <w:top w:val="single" w:color="2E4A7A" w:sz="1"/>
              <w:left w:val="single" w:color="2E4A7A" w:sz="1"/>
              <w:bottom w:val="single" w:color="2E4A7A" w:sz="1"/>
              <w:right w:val="single" w:color="2E4A7A" w:sz="1"/>
            </w:tcBorders>
            <w:shd w:fill="1A3A5C" w:val="clear"/>
            <w:tcMar>
              <w:top w:type="dxa" w:w="100"/>
              <w:left w:type="dxa" w:w="140"/>
              <w:bottom w:type="dxa" w:w="100"/>
              <w:right w:type="dxa" w:w="140"/>
            </w:tcMar>
          </w:tcPr>
          <w:p>
            <w:r>
              <w:rPr>
                <w:rFonts w:ascii="Arial" w:cs="Arial" w:eastAsia="Arial" w:hAnsi="Arial"/>
                <w:b/>
                <w:bCs/>
                <w:color w:val="FFFFFF"/>
                <w:sz w:val="19"/>
                <w:szCs w:val="19"/>
              </w:rPr>
              <w:t xml:space="preserve">Observed / Status</w:t>
            </w:r>
          </w:p>
        </w:tc>
      </w:tr>
      <w:tr>
        <w:trPr>
          <w:cantSplit/>
        </w:trPr>
        <w:tc>
          <w:tcPr>
            <w:tcW w:type="dxa" w:w="9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3,480</w:t>
            </w:r>
          </w:p>
        </w:tc>
        <w:tc>
          <w:tcPr>
            <w:tcW w:type="dxa" w:w="1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2,891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Core-Mantle Boundary</w:t>
            </w:r>
          </w:p>
        </w:tc>
        <w:tc>
          <w:tcPr>
            <w:tcW w:type="dxa" w:w="34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3,480 km — calibration anchor</w:t>
            </w:r>
          </w:p>
        </w:tc>
      </w:tr>
      <w:tr>
        <w:trPr>
          <w:cantSplit/>
        </w:trPr>
        <w:tc>
          <w:tcPr>
            <w:tcW w:type="dxa" w:w="9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11/10 = 1.1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6,327</w:t>
            </w:r>
          </w:p>
        </w:tc>
        <w:tc>
          <w:tcPr>
            <w:tcW w:type="dxa" w:w="1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44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Lithospheric base</w:t>
            </w:r>
          </w:p>
        </w:tc>
        <w:tc>
          <w:tcPr>
            <w:tcW w:type="dxa" w:w="34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~35–55 km — within range</w:t>
            </w:r>
          </w:p>
        </w:tc>
      </w:tr>
      <w:tr>
        <w:trPr>
          <w:cantSplit/>
        </w:trPr>
        <w:tc>
          <w:tcPr>
            <w:tcW w:type="dxa" w:w="9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11/9 ≈ 1.222</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5,695</w:t>
            </w:r>
          </w:p>
        </w:tc>
        <w:tc>
          <w:tcPr>
            <w:tcW w:type="dxa" w:w="1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676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Upper/lower mantle transition</w:t>
            </w:r>
          </w:p>
        </w:tc>
        <w:tc>
          <w:tcPr>
            <w:tcW w:type="dxa" w:w="34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660 km — 2.4% deviation</w:t>
            </w:r>
          </w:p>
        </w:tc>
      </w:tr>
      <w:tr>
        <w:trPr>
          <w:cantSplit/>
        </w:trPr>
        <w:tc>
          <w:tcPr>
            <w:tcW w:type="dxa" w:w="9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1,740</w:t>
            </w:r>
          </w:p>
        </w:tc>
        <w:tc>
          <w:tcPr>
            <w:tcW w:type="dxa" w:w="1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4,631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Mid-lower mantle transition</w:t>
            </w:r>
          </w:p>
        </w:tc>
        <w:tc>
          <w:tcPr>
            <w:tcW w:type="dxa" w:w="34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~1,700–1,800 km — prediction</w:t>
            </w:r>
          </w:p>
        </w:tc>
      </w:tr>
      <w:tr>
        <w:trPr>
          <w:cantSplit/>
        </w:trPr>
        <w:tc>
          <w:tcPr>
            <w:tcW w:type="dxa" w:w="9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1,160</w:t>
            </w:r>
          </w:p>
        </w:tc>
        <w:tc>
          <w:tcPr>
            <w:tcW w:type="dxa" w:w="1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5,211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F-zone center</w:t>
            </w:r>
          </w:p>
        </w:tc>
        <w:tc>
          <w:tcPr>
            <w:tcW w:type="dxa" w:w="34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1,145 km — 1.3% deviation</w:t>
            </w:r>
          </w:p>
        </w:tc>
      </w:tr>
      <w:tr>
        <w:trPr>
          <w:cantSplit/>
        </w:trPr>
        <w:tc>
          <w:tcPr>
            <w:tcW w:type="dxa" w:w="9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870</w:t>
            </w:r>
          </w:p>
        </w:tc>
        <w:tc>
          <w:tcPr>
            <w:tcW w:type="dxa" w:w="1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5,501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Innermost Inner Core (IMIC)</w:t>
            </w:r>
          </w:p>
        </w:tc>
        <w:tc>
          <w:tcPr>
            <w:tcW w:type="dxa" w:w="34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650–900 km — within range</w:t>
            </w:r>
          </w:p>
        </w:tc>
      </w:tr>
    </w:tbl>
    <w:p>
      <w:pPr>
        <w:spacing w:after="60" w:before="60"/>
      </w:pPr>
      <w:r>
        <w:t xml:space="preserve"/>
      </w:r>
    </w:p>
    <w:p>
      <w:pPr>
        <w:pBdr>
          <w:bottom w:val="single" w:color="CCCCCC" w:sz="4" w:space="1"/>
        </w:pBdr>
        <w:spacing w:after="200" w:before="200"/>
      </w:pPr>
      <w:r>
        <w:t xml:space="preserve"/>
      </w:r>
    </w:p>
    <w:p>
      <w:pPr>
        <w:pStyle w:val="Heading1"/>
        <w:spacing w:after="180" w:before="360"/>
      </w:pPr>
      <w:r>
        <w:rPr>
          <w:rFonts w:ascii="Arial" w:cs="Arial" w:eastAsia="Arial" w:hAnsi="Arial"/>
          <w:b/>
          <w:bCs/>
          <w:color w:val="1A3A5C"/>
          <w:sz w:val="28"/>
          <w:szCs w:val="28"/>
        </w:rPr>
        <w:t xml:space="preserve">5. Deep-Focus Seismicity</w:t>
      </w:r>
    </w:p>
    <w:p>
      <w:pPr>
        <w:pStyle w:val="Heading2"/>
        <w:spacing w:after="140" w:before="280"/>
      </w:pPr>
      <w:r>
        <w:rPr>
          <w:rFonts w:ascii="Arial" w:cs="Arial" w:eastAsia="Arial" w:hAnsi="Arial"/>
          <w:b/>
          <w:bCs/>
          <w:color w:val="2E4A7A"/>
          <w:sz w:val="24"/>
          <w:szCs w:val="24"/>
        </w:rPr>
        <w:t xml:space="preserve">5.1 The Classical Paradox</w:t>
      </w:r>
    </w:p>
    <w:p>
      <w:pPr>
        <w:spacing w:after="100" w:before="100"/>
      </w:pPr>
      <w:r>
        <w:rPr>
          <w:rFonts w:ascii="Arial" w:cs="Arial" w:eastAsia="Arial" w:hAnsi="Arial"/>
          <w:sz w:val="22"/>
          <w:szCs w:val="22"/>
        </w:rPr>
        <w:t xml:space="preserve">Deep-focus earthquakes below 90 km in continental settings and below 200 km in subduction zones are mechanically paradoxical under standard rheological models. At 250 km depth, lithostatic pressure reaches approximately 8 GPa, exceeding the ductile-brittle transition threshold of all relevant mineral phases. Standard continuum mechanics predicts continuous plastic flow. The Φ-operator resolves this by providing a geometric mechanism that produces a local strain rate spike at specific rational radii, independent of confining pressure.</w:t>
      </w:r>
    </w:p>
    <w:p>
      <w:pPr>
        <w:spacing w:after="60" w:before="60"/>
      </w:pPr>
      <w:r>
        <w:t xml:space="preserve"/>
      </w:r>
    </w:p>
    <w:p>
      <w:pPr>
        <w:pStyle w:val="Heading2"/>
        <w:spacing w:after="140" w:before="280"/>
      </w:pPr>
      <w:r>
        <w:rPr>
          <w:rFonts w:ascii="Arial" w:cs="Arial" w:eastAsia="Arial" w:hAnsi="Arial"/>
          <w:b/>
          <w:bCs/>
          <w:color w:val="2E4A7A"/>
          <w:sz w:val="24"/>
          <w:szCs w:val="24"/>
        </w:rPr>
        <w:t xml:space="preserve">5.2 Strain Rate from the Φ-Operator</w:t>
      </w:r>
    </w:p>
    <w:p>
      <w:pPr>
        <w:spacing w:after="100" w:before="100"/>
      </w:pPr>
      <w:r>
        <w:rPr>
          <w:rFonts w:ascii="Arial" w:cs="Arial" w:eastAsia="Arial" w:hAnsi="Arial"/>
          <w:sz w:val="22"/>
          <w:szCs w:val="22"/>
        </w:rPr>
        <w:t xml:space="preserve">For a material element descending at radial velocity vᵣ = dr/dt, the time derivative of the frequency state:</w:t>
      </w:r>
    </w:p>
    <w:p>
      <w:pPr>
        <w:spacing w:after="60" w:before="60"/>
      </w:pPr>
      <w:r>
        <w:t xml:space="preserve"/>
      </w:r>
    </w:p>
    <w:p>
      <w:pPr>
        <w:spacing w:after="180" w:before="180"/>
        <w:jc w:val="center"/>
      </w:pPr>
      <w:r>
        <w:rPr>
          <w:rFonts w:ascii="Courier New" w:cs="Courier New" w:eastAsia="Courier New" w:hAnsi="Courier New"/>
          <w:b/>
          <w:bCs/>
          <w:sz w:val="22"/>
          <w:szCs w:val="22"/>
        </w:rPr>
        <w:t xml:space="preserve">df/dt  =  (df/dr) × (dr/dt)  =  (−c / r²) × vᵣ</w:t>
      </w:r>
      <w:r>
        <w:rPr>
          <w:rFonts w:ascii="Arial" w:cs="Arial" w:eastAsia="Arial" w:hAnsi="Arial"/>
          <w:i/>
          <w:iCs/>
          <w:color w:val="666666"/>
          <w:sz w:val="20"/>
          <w:szCs w:val="20"/>
        </w:rPr>
        <w:t xml:space="preserve">   (5.1)</w:t>
      </w:r>
    </w:p>
    <w:p>
      <w:pPr>
        <w:spacing w:after="60" w:before="60"/>
      </w:pPr>
      <w:r>
        <w:t xml:space="preserve"/>
      </w:r>
    </w:p>
    <w:p>
      <w:pPr>
        <w:spacing w:after="100" w:before="100"/>
      </w:pPr>
      <w:r>
        <w:rPr>
          <w:rFonts w:ascii="Arial" w:cs="Arial" w:eastAsia="Arial" w:hAnsi="Arial"/>
          <w:sz w:val="22"/>
          <w:szCs w:val="22"/>
        </w:rPr>
        <w:t xml:space="preserve">The required structural strain rate scales as:</w:t>
      </w:r>
    </w:p>
    <w:p>
      <w:pPr>
        <w:spacing w:after="60" w:before="60"/>
      </w:pPr>
      <w:r>
        <w:t xml:space="preserve"/>
      </w:r>
    </w:p>
    <w:p>
      <w:pPr>
        <w:spacing w:after="180" w:before="180"/>
        <w:jc w:val="center"/>
      </w:pPr>
      <w:r>
        <w:rPr>
          <w:rFonts w:ascii="Arial" w:cs="Arial" w:eastAsia="Arial" w:hAnsi="Arial"/>
          <w:sz w:val="22"/>
          <w:szCs w:val="22"/>
        </w:rPr>
        <w:t xml:space="preserve">ε̇</w:t>
      </w:r>
      <w:r>
        <w:rPr>
          <w:rFonts w:ascii="Arial" w:cs="Arial" w:eastAsia="Arial" w:hAnsi="Arial"/>
          <w:sz w:val="18"/>
          <w:szCs w:val="18"/>
          <w:vertAlign w:val="subscript"/>
        </w:rPr>
        <w:t xml:space="preserve">required</w:t>
      </w:r>
      <w:r>
        <w:rPr>
          <w:rFonts w:ascii="Courier New" w:cs="Courier New" w:eastAsia="Courier New" w:hAnsi="Courier New"/>
          <w:b/>
          <w:bCs/>
          <w:sz w:val="22"/>
          <w:szCs w:val="22"/>
        </w:rPr>
        <w:t xml:space="preserve">  ∝  |df/dt|  =  c × vᵣ / r²</w:t>
      </w:r>
      <w:r>
        <w:rPr>
          <w:rFonts w:ascii="Arial" w:cs="Arial" w:eastAsia="Arial" w:hAnsi="Arial"/>
          <w:i/>
          <w:iCs/>
          <w:color w:val="666666"/>
          <w:sz w:val="20"/>
          <w:szCs w:val="20"/>
        </w:rPr>
        <w:t xml:space="preserve">   (5.2)</w:t>
      </w:r>
    </w:p>
    <w:p>
      <w:pPr>
        <w:spacing w:after="60" w:before="60"/>
      </w:pPr>
      <w:r>
        <w:t xml:space="preserve"/>
      </w:r>
    </w:p>
    <w:p>
      <w:pPr>
        <w:spacing w:after="100" w:before="100"/>
      </w:pPr>
      <w:r>
        <w:rPr>
          <w:rFonts w:ascii="Arial" w:cs="Arial" w:eastAsia="Arial" w:hAnsi="Arial"/>
          <w:sz w:val="22"/>
          <w:szCs w:val="22"/>
        </w:rPr>
        <w:t xml:space="preserve">The required strain rate grows as 1/r². At shallow depth, the ambient plastic creep rate is sufficient:</w:t>
      </w:r>
    </w:p>
    <w:p>
      <w:pPr>
        <w:spacing w:after="60" w:before="60"/>
      </w:pPr>
      <w:r>
        <w:t xml:space="preserve"/>
      </w:r>
    </w:p>
    <w:p>
      <w:pPr>
        <w:spacing w:after="180" w:before="180"/>
        <w:jc w:val="center"/>
      </w:pPr>
      <w:r>
        <w:rPr>
          <w:rFonts w:ascii="Arial" w:cs="Arial" w:eastAsia="Arial" w:hAnsi="Arial"/>
          <w:sz w:val="22"/>
          <w:szCs w:val="22"/>
        </w:rPr>
        <w:t xml:space="preserve">ε̇</w:t>
      </w:r>
      <w:r>
        <w:rPr>
          <w:rFonts w:ascii="Arial" w:cs="Arial" w:eastAsia="Arial" w:hAnsi="Arial"/>
          <w:sz w:val="18"/>
          <w:szCs w:val="18"/>
          <w:vertAlign w:val="subscript"/>
        </w:rPr>
        <w:t xml:space="preserve">plastic</w:t>
      </w:r>
      <w:r>
        <w:rPr>
          <w:rFonts w:ascii="Courier New" w:cs="Courier New" w:eastAsia="Courier New" w:hAnsi="Courier New"/>
          <w:b/>
          <w:bCs/>
          <w:sz w:val="22"/>
          <w:szCs w:val="22"/>
        </w:rPr>
        <w:t xml:space="preserve">  ≥  </w:t>
      </w:r>
      <w:r>
        <w:rPr>
          <w:rFonts w:ascii="Arial" w:cs="Arial" w:eastAsia="Arial" w:hAnsi="Arial"/>
          <w:sz w:val="22"/>
          <w:szCs w:val="22"/>
        </w:rPr>
        <w:t xml:space="preserve">ε̇</w:t>
      </w:r>
      <w:r>
        <w:rPr>
          <w:rFonts w:ascii="Arial" w:cs="Arial" w:eastAsia="Arial" w:hAnsi="Arial"/>
          <w:sz w:val="18"/>
          <w:szCs w:val="18"/>
          <w:vertAlign w:val="subscript"/>
        </w:rPr>
        <w:t xml:space="preserve">required</w:t>
      </w:r>
      <w:r>
        <w:rPr>
          <w:rFonts w:ascii="Courier New" w:cs="Courier New" w:eastAsia="Courier New" w:hAnsi="Courier New"/>
          <w:b/>
          <w:bCs/>
          <w:sz w:val="22"/>
          <w:szCs w:val="22"/>
        </w:rPr>
        <w:t xml:space="preserve">     [shallow: ductile flow]</w:t>
      </w:r>
      <w:r>
        <w:rPr>
          <w:rFonts w:ascii="Arial" w:cs="Arial" w:eastAsia="Arial" w:hAnsi="Arial"/>
          <w:i/>
          <w:iCs/>
          <w:color w:val="666666"/>
          <w:sz w:val="20"/>
          <w:szCs w:val="20"/>
        </w:rPr>
        <w:t xml:space="preserve">   (5.3)</w:t>
      </w:r>
    </w:p>
    <w:p>
      <w:pPr>
        <w:spacing w:after="60" w:before="60"/>
      </w:pPr>
      <w:r>
        <w:t xml:space="preserve"/>
      </w:r>
    </w:p>
    <w:p>
      <w:pPr>
        <w:pStyle w:val="Heading2"/>
        <w:spacing w:after="140" w:before="280"/>
      </w:pPr>
      <w:r>
        <w:rPr>
          <w:rFonts w:ascii="Arial" w:cs="Arial" w:eastAsia="Arial" w:hAnsi="Arial"/>
          <w:b/>
          <w:bCs/>
          <w:color w:val="2E4A7A"/>
          <w:sz w:val="24"/>
          <w:szCs w:val="24"/>
        </w:rPr>
        <w:t xml:space="preserve">5.3 Phase Reset at Rational Nodes</w:t>
      </w:r>
    </w:p>
    <w:p>
      <w:pPr>
        <w:spacing w:after="100" w:before="100"/>
      </w:pPr>
      <w:r>
        <w:rPr>
          <w:rFonts w:ascii="Arial" w:cs="Arial" w:eastAsia="Arial" w:hAnsi="Arial"/>
          <w:sz w:val="22"/>
          <w:szCs w:val="22"/>
        </w:rPr>
        <w:t xml:space="preserve">The field frequency f = c/r is continuous everywhere. No mathematical singularity exists at rational nodes. At a rational node n = p/q, the field satisfies a closed phase loop condition. A material element crossing this radius must transition its internal lattice alignment from one harmonic locking state to another. This phase reset occurs over a finite crossing interval Δt:</w:t>
      </w:r>
    </w:p>
    <w:p>
      <w:pPr>
        <w:spacing w:after="60" w:before="60"/>
      </w:pPr>
      <w:r>
        <w:t xml:space="preserve"/>
      </w:r>
    </w:p>
    <w:p>
      <w:pPr>
        <w:spacing w:after="180" w:before="180"/>
        <w:jc w:val="center"/>
      </w:pPr>
      <w:r>
        <w:rPr>
          <w:rFonts w:ascii="Arial" w:cs="Arial" w:eastAsia="Arial" w:hAnsi="Arial"/>
          <w:sz w:val="22"/>
          <w:szCs w:val="22"/>
        </w:rPr>
        <w:t xml:space="preserve">ε̇</w:t>
      </w:r>
      <w:r>
        <w:rPr>
          <w:rFonts w:ascii="Arial" w:cs="Arial" w:eastAsia="Arial" w:hAnsi="Arial"/>
          <w:sz w:val="18"/>
          <w:szCs w:val="18"/>
          <w:vertAlign w:val="subscript"/>
        </w:rPr>
        <w:t xml:space="preserve">required</w:t>
      </w:r>
      <w:r>
        <w:rPr>
          <w:rFonts w:ascii="Courier New" w:cs="Courier New" w:eastAsia="Courier New" w:hAnsi="Courier New"/>
          <w:b/>
          <w:bCs/>
          <w:sz w:val="22"/>
          <w:szCs w:val="22"/>
        </w:rPr>
        <w:t xml:space="preserve">  ∝  Δφ / Δt</w:t>
      </w:r>
      <w:r>
        <w:rPr>
          <w:rFonts w:ascii="Arial" w:cs="Arial" w:eastAsia="Arial" w:hAnsi="Arial"/>
          <w:i/>
          <w:iCs/>
          <w:color w:val="666666"/>
          <w:sz w:val="20"/>
          <w:szCs w:val="20"/>
        </w:rPr>
        <w:t xml:space="preserve">   (5.4)</w:t>
      </w:r>
    </w:p>
    <w:p>
      <w:pPr>
        <w:spacing w:after="60" w:before="60"/>
      </w:pPr>
      <w:r>
        <w:t xml:space="preserve"/>
      </w:r>
    </w:p>
    <w:p>
      <w:pPr>
        <w:spacing w:after="100" w:before="100"/>
      </w:pPr>
      <w:r>
        <w:rPr>
          <w:rFonts w:ascii="Arial" w:cs="Arial" w:eastAsia="Arial" w:hAnsi="Arial"/>
          <w:sz w:val="22"/>
          <w:szCs w:val="22"/>
        </w:rPr>
        <w:t xml:space="preserve">where Δφ is the quantized phase reset value. When Δt is short (rapid slab descent or lithospheric flexure), the required strain rate exceeds the maximum plastic relaxation rate:</w:t>
      </w:r>
    </w:p>
    <w:p>
      <w:pPr>
        <w:spacing w:after="60" w:before="60"/>
      </w:pPr>
      <w:r>
        <w:t xml:space="preserve"/>
      </w:r>
    </w:p>
    <w:p>
      <w:pPr>
        <w:spacing w:after="180" w:before="180"/>
        <w:jc w:val="center"/>
      </w:pPr>
      <w:r>
        <w:rPr>
          <w:rFonts w:ascii="Arial" w:cs="Arial" w:eastAsia="Arial" w:hAnsi="Arial"/>
          <w:sz w:val="22"/>
          <w:szCs w:val="22"/>
        </w:rPr>
        <w:t xml:space="preserve">ε̇</w:t>
      </w:r>
      <w:r>
        <w:rPr>
          <w:rFonts w:ascii="Arial" w:cs="Arial" w:eastAsia="Arial" w:hAnsi="Arial"/>
          <w:sz w:val="18"/>
          <w:szCs w:val="18"/>
          <w:vertAlign w:val="subscript"/>
        </w:rPr>
        <w:t xml:space="preserve">required</w:t>
      </w:r>
      <w:r>
        <w:rPr>
          <w:rFonts w:ascii="Courier New" w:cs="Courier New" w:eastAsia="Courier New" w:hAnsi="Courier New"/>
          <w:b/>
          <w:bCs/>
          <w:sz w:val="22"/>
          <w:szCs w:val="22"/>
        </w:rPr>
        <w:t xml:space="preserve">  &gt;  </w:t>
      </w:r>
      <w:r>
        <w:rPr>
          <w:rFonts w:ascii="Arial" w:cs="Arial" w:eastAsia="Arial" w:hAnsi="Arial"/>
          <w:sz w:val="22"/>
          <w:szCs w:val="22"/>
        </w:rPr>
        <w:t xml:space="preserve">ε̇</w:t>
      </w:r>
      <w:r>
        <w:rPr>
          <w:rFonts w:ascii="Arial" w:cs="Arial" w:eastAsia="Arial" w:hAnsi="Arial"/>
          <w:sz w:val="18"/>
          <w:szCs w:val="18"/>
          <w:vertAlign w:val="subscript"/>
        </w:rPr>
        <w:t xml:space="preserve">plastic</w:t>
      </w:r>
      <w:r>
        <w:rPr>
          <w:rFonts w:ascii="Courier New" w:cs="Courier New" w:eastAsia="Courier New" w:hAnsi="Courier New"/>
          <w:b/>
          <w:bCs/>
          <w:sz w:val="22"/>
          <w:szCs w:val="22"/>
        </w:rPr>
        <w:t xml:space="preserve">     [brittle failure]</w:t>
      </w:r>
      <w:r>
        <w:rPr>
          <w:rFonts w:ascii="Arial" w:cs="Arial" w:eastAsia="Arial" w:hAnsi="Arial"/>
          <w:i/>
          <w:iCs/>
          <w:color w:val="666666"/>
          <w:sz w:val="20"/>
          <w:szCs w:val="20"/>
        </w:rPr>
        <w:t xml:space="preserve">   (5.5)</w:t>
      </w:r>
    </w:p>
    <w:p>
      <w:pPr>
        <w:spacing w:after="60" w:before="60"/>
      </w:pPr>
      <w:r>
        <w:t xml:space="preserve"/>
      </w:r>
    </w:p>
    <w:p>
      <w:pPr>
        <w:spacing w:after="100" w:before="100"/>
      </w:pPr>
      <w:r>
        <w:rPr>
          <w:rFonts w:ascii="Arial" w:cs="Arial" w:eastAsia="Arial" w:hAnsi="Arial"/>
          <w:sz w:val="22"/>
          <w:szCs w:val="22"/>
        </w:rPr>
        <w:t xml:space="preserve">Failure occurs via dehydration embrittlement (bound H₂O release opposing lithostatic pressure) or transformational faulting (olivine-to-ringwoodite collapse with ≈8% volume decrease creating localized tensile stress). Both mechanisms are observed geophysically. The Φ-operator provides the geometric trigger explaining why they activate at specific depths rather than continuously throughout slab descent.</w:t>
      </w:r>
    </w:p>
    <w:p>
      <w:pPr>
        <w:spacing w:after="60" w:before="60"/>
      </w:pPr>
      <w:r>
        <w:t xml:space="preserve"/>
      </w:r>
    </w:p>
    <w:p>
      <w:pPr>
        <w:pStyle w:val="Heading2"/>
        <w:spacing w:after="140" w:before="280"/>
      </w:pPr>
      <w:r>
        <w:rPr>
          <w:rFonts w:ascii="Arial" w:cs="Arial" w:eastAsia="Arial" w:hAnsi="Arial"/>
          <w:b/>
          <w:bCs/>
          <w:color w:val="2E4A7A"/>
          <w:sz w:val="24"/>
          <w:szCs w:val="24"/>
        </w:rPr>
        <w:t xml:space="preserve">5.4 Hawaiian Lithospheric Flexure (41 km, n = 11/10)</w:t>
      </w:r>
    </w:p>
    <w:p>
      <w:pPr>
        <w:spacing w:after="180" w:before="180"/>
        <w:jc w:val="center"/>
      </w:pPr>
      <w:r>
        <w:rPr>
          <w:rFonts w:ascii="Courier New" w:cs="Courier New" w:eastAsia="Courier New" w:hAnsi="Courier New"/>
          <w:b/>
          <w:bCs/>
          <w:sz w:val="22"/>
          <w:szCs w:val="22"/>
        </w:rPr>
        <w:t xml:space="preserve">r  =  6,371 − 41  =  6,330 km</w:t>
      </w:r>
      <w:r>
        <w:rPr>
          <w:rFonts w:ascii="Arial" w:cs="Arial" w:eastAsia="Arial" w:hAnsi="Arial"/>
          <w:i/>
          <w:iCs/>
          <w:color w:val="666666"/>
          <w:sz w:val="20"/>
          <w:szCs w:val="20"/>
        </w:rPr>
        <w:t xml:space="preserve">   (5.6)</w:t>
      </w:r>
    </w:p>
    <w:p>
      <w:pPr>
        <w:spacing w:after="180" w:before="180"/>
        <w:jc w:val="center"/>
      </w:pPr>
      <w:r>
        <w:rPr>
          <w:rFonts w:ascii="Courier New" w:cs="Courier New" w:eastAsia="Courier New" w:hAnsi="Courier New"/>
          <w:b/>
          <w:bCs/>
          <w:sz w:val="22"/>
          <w:szCs w:val="22"/>
        </w:rPr>
        <w:t xml:space="preserve">n  =  6,960 / 6,330  =  1.0995  ≈  11/10  =  1.1</w:t>
      </w:r>
      <w:r>
        <w:rPr>
          <w:rFonts w:ascii="Arial" w:cs="Arial" w:eastAsia="Arial" w:hAnsi="Arial"/>
          <w:i/>
          <w:iCs/>
          <w:color w:val="666666"/>
          <w:sz w:val="20"/>
          <w:szCs w:val="20"/>
        </w:rPr>
        <w:t xml:space="preserve">   (5.7)</w:t>
      </w:r>
    </w:p>
    <w:p>
      <w:pPr>
        <w:spacing w:after="180" w:before="180"/>
        <w:jc w:val="center"/>
      </w:pPr>
      <w:r>
        <w:rPr>
          <w:rFonts w:ascii="Courier New" w:cs="Courier New" w:eastAsia="Courier New" w:hAnsi="Courier New"/>
          <w:b/>
          <w:bCs/>
          <w:sz w:val="22"/>
          <w:szCs w:val="22"/>
        </w:rPr>
        <w:t xml:space="preserve">Deviation:  0.05%</w:t>
      </w:r>
      <w:r>
        <w:rPr>
          <w:rFonts w:ascii="Arial" w:cs="Arial" w:eastAsia="Arial" w:hAnsi="Arial"/>
          <w:i/>
          <w:iCs/>
          <w:color w:val="666666"/>
          <w:sz w:val="20"/>
          <w:szCs w:val="20"/>
        </w:rPr>
        <w:t xml:space="preserve">   (5.8)</w:t>
      </w:r>
    </w:p>
    <w:p>
      <w:pPr>
        <w:spacing w:after="100" w:before="100"/>
      </w:pPr>
      <w:r>
        <w:rPr>
          <w:rFonts w:ascii="Arial" w:cs="Arial" w:eastAsia="Arial" w:hAnsi="Arial"/>
          <w:sz w:val="22"/>
          <w:szCs w:val="22"/>
        </w:rPr>
        <w:t xml:space="preserve">At the rational node n = 11/10, horizontal stresses transition across a neutral plane: upper lithosphere in tension, lower lithosphere in compression. The node marks the exact depth of stress polarity inversion under volcanic loading. The large r value keeps the 1/r² factor relatively small, consistent with Hawaiian flexure events being lower magnitude than deep-focus subduction earthquakes.</w:t>
      </w:r>
    </w:p>
    <w:p>
      <w:pPr>
        <w:spacing w:after="60" w:before="60"/>
      </w:pPr>
      <w:r>
        <w:t xml:space="preserve"/>
      </w:r>
    </w:p>
    <w:p>
      <w:pPr>
        <w:pStyle w:val="Heading2"/>
        <w:spacing w:after="140" w:before="280"/>
      </w:pPr>
      <w:r>
        <w:rPr>
          <w:rFonts w:ascii="Arial" w:cs="Arial" w:eastAsia="Arial" w:hAnsi="Arial"/>
          <w:b/>
          <w:bCs/>
          <w:color w:val="2E4A7A"/>
          <w:sz w:val="24"/>
          <w:szCs w:val="24"/>
        </w:rPr>
        <w:t xml:space="preserve">5.5 Calabrian Slab Rupture (250 km, n = 8/7)</w:t>
      </w:r>
    </w:p>
    <w:p>
      <w:pPr>
        <w:spacing w:after="100" w:before="100"/>
      </w:pPr>
      <w:r>
        <w:rPr>
          <w:rFonts w:ascii="Arial" w:cs="Arial" w:eastAsia="Arial" w:hAnsi="Arial"/>
          <w:sz w:val="22"/>
          <w:szCs w:val="22"/>
        </w:rPr>
        <w:t xml:space="preserve">On June 2, 2026, a deep-focus earthquake (M6.1) occurred off Calabria at approximately 250 km depth.</w:t>
      </w:r>
    </w:p>
    <w:p>
      <w:pPr>
        <w:spacing w:after="180" w:before="180"/>
        <w:jc w:val="center"/>
      </w:pPr>
      <w:r>
        <w:rPr>
          <w:rFonts w:ascii="Courier New" w:cs="Courier New" w:eastAsia="Courier New" w:hAnsi="Courier New"/>
          <w:b/>
          <w:bCs/>
          <w:sz w:val="22"/>
          <w:szCs w:val="22"/>
        </w:rPr>
        <w:t xml:space="preserve">r  =  6,371 − 250  =  6,121 km</w:t>
      </w:r>
      <w:r>
        <w:rPr>
          <w:rFonts w:ascii="Arial" w:cs="Arial" w:eastAsia="Arial" w:hAnsi="Arial"/>
          <w:i/>
          <w:iCs/>
          <w:color w:val="666666"/>
          <w:sz w:val="20"/>
          <w:szCs w:val="20"/>
        </w:rPr>
        <w:t xml:space="preserve">   (5.9)</w:t>
      </w:r>
    </w:p>
    <w:p>
      <w:pPr>
        <w:spacing w:after="180" w:before="180"/>
        <w:jc w:val="center"/>
      </w:pPr>
      <w:r>
        <w:rPr>
          <w:rFonts w:ascii="Courier New" w:cs="Courier New" w:eastAsia="Courier New" w:hAnsi="Courier New"/>
          <w:b/>
          <w:bCs/>
          <w:sz w:val="22"/>
          <w:szCs w:val="22"/>
        </w:rPr>
        <w:t xml:space="preserve">n  =  6,960 / 6,121  =  1.13706  ≈  8/7  =  1.142857</w:t>
      </w:r>
      <w:r>
        <w:rPr>
          <w:rFonts w:ascii="Arial" w:cs="Arial" w:eastAsia="Arial" w:hAnsi="Arial"/>
          <w:i/>
          <w:iCs/>
          <w:color w:val="666666"/>
          <w:sz w:val="20"/>
          <w:szCs w:val="20"/>
        </w:rPr>
        <w:t xml:space="preserve">   (5.10)</w:t>
      </w:r>
    </w:p>
    <w:p>
      <w:pPr>
        <w:spacing w:after="180" w:before="180"/>
        <w:jc w:val="center"/>
      </w:pPr>
      <w:r>
        <w:rPr>
          <w:rFonts w:ascii="Courier New" w:cs="Courier New" w:eastAsia="Courier New" w:hAnsi="Courier New"/>
          <w:b/>
          <w:bCs/>
          <w:sz w:val="22"/>
          <w:szCs w:val="22"/>
        </w:rPr>
        <w:t xml:space="preserve">Deviation:  0.5%</w:t>
      </w:r>
      <w:r>
        <w:rPr>
          <w:rFonts w:ascii="Arial" w:cs="Arial" w:eastAsia="Arial" w:hAnsi="Arial"/>
          <w:i/>
          <w:iCs/>
          <w:color w:val="666666"/>
          <w:sz w:val="20"/>
          <w:szCs w:val="20"/>
        </w:rPr>
        <w:t xml:space="preserve">   (5.11)</w:t>
      </w:r>
    </w:p>
    <w:p>
      <w:pPr>
        <w:spacing w:after="100" w:before="100"/>
      </w:pPr>
      <w:r>
        <w:rPr>
          <w:rFonts w:ascii="Arial" w:cs="Arial" w:eastAsia="Arial" w:hAnsi="Arial"/>
          <w:sz w:val="22"/>
          <w:szCs w:val="22"/>
        </w:rPr>
        <w:t xml:space="preserve">The cold slab interior (~600–800 °C) is far below ambient mantle temperature (~1,400 °C at 250 km), suppressing ε̇ₚᴸᵃₛₜᵢᶜ by orders of magnitude. The required strain rate spike at the 8/7 node encounters a material whose relaxation capacity is near its lower bound. The 1/r² geometric amplification at 250 km versus 41 km depth:</w:t>
      </w:r>
    </w:p>
    <w:p>
      <w:pPr>
        <w:spacing w:after="180" w:before="180"/>
        <w:jc w:val="center"/>
      </w:pPr>
      <w:r>
        <w:rPr>
          <w:rFonts w:ascii="Courier New" w:cs="Courier New" w:eastAsia="Courier New" w:hAnsi="Courier New"/>
          <w:b/>
          <w:bCs/>
          <w:sz w:val="22"/>
          <w:szCs w:val="22"/>
        </w:rPr>
        <w:t xml:space="preserve">(6,330)² / (6,121)²  =  40,068,900 / 37,466,641  =  1.069</w:t>
      </w:r>
      <w:r>
        <w:rPr>
          <w:rFonts w:ascii="Arial" w:cs="Arial" w:eastAsia="Arial" w:hAnsi="Arial"/>
          <w:i/>
          <w:iCs/>
          <w:color w:val="666666"/>
          <w:sz w:val="20"/>
          <w:szCs w:val="20"/>
        </w:rPr>
        <w:t xml:space="preserve">   (5.12)</w:t>
      </w:r>
    </w:p>
    <w:p>
      <w:pPr>
        <w:spacing w:after="100" w:before="100"/>
      </w:pPr>
      <w:r>
        <w:rPr>
          <w:rFonts w:ascii="Arial" w:cs="Arial" w:eastAsia="Arial" w:hAnsi="Arial"/>
          <w:sz w:val="22"/>
          <w:szCs w:val="22"/>
        </w:rPr>
        <w:t xml:space="preserve">A 6.9% geometric amplification from the quadratic term alone, before accounting for thermal suppression of plastic creep in the cold slab. Because r is smaller at greater depth, the 1/r² dependence ensures that the deeper node demands a higher localized strain-rate adjustment than the shallow flexure case. When the ambient plastic creep is simultaneously suppressed by the cold slab interior, the failure threshold is reached decisively rather than marginally.</w:t>
      </w:r>
    </w:p>
    <w:p>
      <w:pPr>
        <w:pBdr>
          <w:bottom w:val="single" w:color="CCCCCC" w:sz="4" w:space="1"/>
        </w:pBdr>
        <w:spacing w:after="200" w:before="200"/>
      </w:pPr>
      <w:r>
        <w:t xml:space="preserve"/>
      </w:r>
    </w:p>
    <w:p>
      <w:pPr>
        <w:pStyle w:val="Heading1"/>
        <w:spacing w:after="180" w:before="360"/>
      </w:pPr>
      <w:r>
        <w:rPr>
          <w:rFonts w:ascii="Arial" w:cs="Arial" w:eastAsia="Arial" w:hAnsi="Arial"/>
          <w:b/>
          <w:bCs/>
          <w:color w:val="1A3A5C"/>
          <w:sz w:val="28"/>
          <w:szCs w:val="28"/>
        </w:rPr>
        <w:t xml:space="preserve">6. Representation Drift and Its Elimination</w:t>
      </w:r>
    </w:p>
    <w:p>
      <w:pPr>
        <w:spacing w:after="100" w:before="100"/>
      </w:pPr>
      <w:r>
        <w:rPr>
          <w:rFonts w:ascii="Arial" w:cs="Arial" w:eastAsia="Arial" w:hAnsi="Arial"/>
          <w:sz w:val="22"/>
          <w:szCs w:val="22"/>
        </w:rPr>
        <w:t xml:space="preserve">Standard geophysical modeling assigns each interior layer an independent equation of state with separately calibrated empirical parameters. These are fitted against seismic data for that zone alone and forced into global coherence through numerical correction terms. The fitting error accumulates across zone boundaries and must be continuously patched. This is Representation Drift: the cumulative divergence that results from modeling interrelated boundaries as independent systems.</w:t>
      </w:r>
    </w:p>
    <w:p>
      <w:pPr>
        <w:spacing w:after="60" w:before="60"/>
      </w:pPr>
      <w:r>
        <w:t xml:space="preserve"/>
      </w:r>
    </w:p>
    <w:p>
      <w:pPr>
        <w:spacing w:after="100" w:before="100"/>
      </w:pPr>
      <w:r>
        <w:rPr>
          <w:rFonts w:ascii="Arial" w:cs="Arial" w:eastAsia="Arial" w:hAnsi="Arial"/>
          <w:sz w:val="22"/>
          <w:szCs w:val="22"/>
        </w:rPr>
        <w:t xml:space="preserve">Representation Drift is a specific instance of semantic drift as defined in Stratified Axiomatics [6]: the error that occurs when statements from different logical tiers are conflated. In the geophysical context, Tier 2 layer observations are inserted into Tier 0 parameter estimation, producing the appearance of independent derivation where none exists.</w:t>
      </w:r>
    </w:p>
    <w:p>
      <w:pPr>
        <w:spacing w:after="60" w:before="60"/>
      </w:pPr>
      <w:r>
        <w:t xml:space="preserve"/>
      </w:r>
    </w:p>
    <w:p>
      <w:pPr>
        <w:spacing w:after="100" w:before="100"/>
      </w:pPr>
      <w:r>
        <w:rPr>
          <w:rFonts w:ascii="Arial" w:cs="Arial" w:eastAsia="Arial" w:hAnsi="Arial"/>
          <w:sz w:val="22"/>
          <w:szCs w:val="22"/>
        </w:rPr>
        <w:t xml:space="preserve">UHS eliminates this by establishing Λ = 6,960 km as a Tier 0 foundational constraint derived from one first-principles condition and one observed boundary. All interior shell radii are Tier 1 outputs of that single constraint. No layer has independent parameters. The entire interior architecture is constrained by one number derived before any layer boundary other than the CMB is examined.</w:t>
      </w:r>
    </w:p>
    <w:p>
      <w:pPr>
        <w:pBdr>
          <w:bottom w:val="single" w:color="CCCCCC" w:sz="4" w:space="1"/>
        </w:pBdr>
        <w:spacing w:after="200" w:before="200"/>
      </w:pPr>
      <w:r>
        <w:t xml:space="preserve"/>
      </w:r>
    </w:p>
    <w:p>
      <w:pPr>
        <w:pageBreakBefore/>
        <w:spacing w:after="0" w:before="0"/>
      </w:pPr>
      <w:r>
        <w:t xml:space="preserve"/>
      </w:r>
    </w:p>
    <w:p>
      <w:pPr>
        <w:pStyle w:val="Heading1"/>
        <w:spacing w:after="180" w:before="360"/>
      </w:pPr>
      <w:r>
        <w:rPr>
          <w:rFonts w:ascii="Arial" w:cs="Arial" w:eastAsia="Arial" w:hAnsi="Arial"/>
          <w:b/>
          <w:bCs/>
          <w:color w:val="1A3A5C"/>
          <w:sz w:val="28"/>
          <w:szCs w:val="28"/>
        </w:rPr>
        <w:t xml:space="preserve">7. Testable Predictions</w:t>
      </w:r>
    </w:p>
    <w:p>
      <w:pPr>
        <w:spacing w:after="100" w:before="100"/>
      </w:pPr>
      <w:r>
        <w:rPr>
          <w:rFonts w:ascii="Arial" w:cs="Arial" w:eastAsia="Arial" w:hAnsi="Arial"/>
          <w:b/>
          <w:bCs/>
          <w:sz w:val="22"/>
          <w:szCs w:val="22"/>
        </w:rPr>
        <w:t xml:space="preserve">P1.</w:t>
      </w:r>
      <w:r>
        <w:rPr>
          <w:rFonts w:ascii="Arial" w:cs="Arial" w:eastAsia="Arial" w:hAnsi="Arial"/>
          <w:sz w:val="22"/>
          <w:szCs w:val="22"/>
        </w:rPr>
        <w:t xml:space="preserve">  The IMIC boundary will be observed at r = 870 ± 30 km. Current estimates place it at 650–900 km. A refined global seismic anisotropy study should constrain this within 50 km.</w:t>
      </w:r>
    </w:p>
    <w:p>
      <w:pPr>
        <w:spacing w:after="60" w:before="60"/>
      </w:pPr>
      <w:r>
        <w:t xml:space="preserve"/>
      </w:r>
    </w:p>
    <w:p>
      <w:pPr>
        <w:spacing w:after="100" w:before="100"/>
      </w:pPr>
      <w:r>
        <w:rPr>
          <w:rFonts w:ascii="Arial" w:cs="Arial" w:eastAsia="Arial" w:hAnsi="Arial"/>
          <w:b/>
          <w:bCs/>
          <w:sz w:val="22"/>
          <w:szCs w:val="22"/>
        </w:rPr>
        <w:t xml:space="preserve">P2.</w:t>
      </w:r>
      <w:r>
        <w:rPr>
          <w:rFonts w:ascii="Arial" w:cs="Arial" w:eastAsia="Arial" w:hAnsi="Arial"/>
          <w:sz w:val="22"/>
          <w:szCs w:val="22"/>
        </w:rPr>
        <w:t xml:space="preserve">  The mid-lower-mantle post-perovskite transition will show a structural discontinuity near r = 1,740 km (depth ≈4,630 km), detectable via long-period body wave analysis.</w:t>
      </w:r>
    </w:p>
    <w:p>
      <w:pPr>
        <w:spacing w:after="60" w:before="60"/>
      </w:pPr>
      <w:r>
        <w:t xml:space="preserve"/>
      </w:r>
    </w:p>
    <w:p>
      <w:pPr>
        <w:spacing w:after="100" w:before="100"/>
      </w:pPr>
      <w:r>
        <w:rPr>
          <w:rFonts w:ascii="Arial" w:cs="Arial" w:eastAsia="Arial" w:hAnsi="Arial"/>
          <w:b/>
          <w:bCs/>
          <w:sz w:val="22"/>
          <w:szCs w:val="22"/>
        </w:rPr>
        <w:t xml:space="preserve">P3.</w:t>
      </w:r>
      <w:r>
        <w:rPr>
          <w:rFonts w:ascii="Arial" w:cs="Arial" w:eastAsia="Arial" w:hAnsi="Arial"/>
          <w:sz w:val="22"/>
          <w:szCs w:val="22"/>
        </w:rPr>
        <w:t xml:space="preserve">  Deep-focus earthquake depths in subduction zones will show statistically elevated frequency at rational nodes n = p/q with small denominators relative to Λ = 6,960 km, verifiable against the ISC global earthquake catalog.</w:t>
      </w:r>
    </w:p>
    <w:p>
      <w:pPr>
        <w:spacing w:after="60" w:before="60"/>
      </w:pPr>
      <w:r>
        <w:t xml:space="preserve"/>
      </w:r>
    </w:p>
    <w:p>
      <w:pPr>
        <w:spacing w:after="100" w:before="100"/>
      </w:pPr>
      <w:r>
        <w:rPr>
          <w:rFonts w:ascii="Arial" w:cs="Arial" w:eastAsia="Arial" w:hAnsi="Arial"/>
          <w:b/>
          <w:bCs/>
          <w:sz w:val="22"/>
          <w:szCs w:val="22"/>
        </w:rPr>
        <w:t xml:space="preserve">P4.</w:t>
      </w:r>
      <w:r>
        <w:rPr>
          <w:rFonts w:ascii="Arial" w:cs="Arial" w:eastAsia="Arial" w:hAnsi="Arial"/>
          <w:sz w:val="22"/>
          <w:szCs w:val="22"/>
        </w:rPr>
        <w:t xml:space="preserve">  The Λ-based shell ladder applied to Mars and Venus, scaled by their respective rᴀᴄᴍ values, should yield interior layer radii consistent with their observed seismic and gravity profiles. This tests scale invariance directly.</w:t>
      </w:r>
    </w:p>
    <w:p>
      <w:pPr>
        <w:pBdr>
          <w:bottom w:val="single" w:color="CCCCCC" w:sz="4" w:space="1"/>
        </w:pBdr>
        <w:spacing w:after="200" w:before="200"/>
      </w:pPr>
      <w:r>
        <w:t xml:space="preserve"/>
      </w:r>
    </w:p>
    <w:p>
      <w:pPr>
        <w:pStyle w:val="Heading1"/>
        <w:spacing w:after="180" w:before="360"/>
      </w:pPr>
      <w:r>
        <w:rPr>
          <w:rFonts w:ascii="Arial" w:cs="Arial" w:eastAsia="Arial" w:hAnsi="Arial"/>
          <w:b/>
          <w:bCs/>
          <w:color w:val="1A3A5C"/>
          <w:sz w:val="28"/>
          <w:szCs w:val="28"/>
        </w:rPr>
        <w:t xml:space="preserve">Conclusion</w:t>
      </w:r>
    </w:p>
    <w:p>
      <w:pPr>
        <w:spacing w:after="100" w:before="100"/>
      </w:pPr>
      <w:r>
        <w:rPr>
          <w:rFonts w:ascii="Arial" w:cs="Arial" w:eastAsia="Arial" w:hAnsi="Arial"/>
          <w:sz w:val="22"/>
          <w:szCs w:val="22"/>
        </w:rPr>
        <w:t xml:space="preserve">Earth’s interior layers are not decoupled geological accidents. They are quantized shells of a phase-locked resonator nested within a three-tier field structure that spans from the solar system torque inversion down through the ionospheric admissibility lock to the solid Earth interior. Two observed values enter this paper: Rᴇ = 6,371 km and rᴀᴄᴍ = 3,480 km. From these, one structural invariant Λ = 6,960 km is derived. From Λ alone, the interior shell ladder reproduces the CMB, mid-lower-mantle transition, F-zone crystallization envelope, and Innermost Inner Core boundary. Deep-focus seismicity at 41 km and 250 km is derived as a quadratic strain-rate failure at rational phase nodes, resolving the classical brittle-failure paradox without ad hoc mechanisms.</w:t>
      </w:r>
    </w:p>
    <w:p>
      <w:pPr>
        <w:spacing w:after="60" w:before="60"/>
      </w:pPr>
      <w:r>
        <w:t xml:space="preserve"/>
      </w:r>
    </w:p>
    <w:p>
      <w:pPr>
        <w:spacing w:after="100" w:before="100"/>
      </w:pPr>
      <w:r>
        <w:rPr>
          <w:rFonts w:ascii="Arial" w:cs="Arial" w:eastAsia="Arial" w:hAnsi="Arial"/>
          <w:sz w:val="22"/>
          <w:szCs w:val="22"/>
        </w:rPr>
        <w:t xml:space="preserve">The same operator, the same law, the same structural logic — at every scale.</w:t>
      </w:r>
    </w:p>
    <w:p>
      <w:pPr>
        <w:pBdr>
          <w:bottom w:val="single" w:color="CCCCCC" w:sz="4" w:space="1"/>
        </w:pBdr>
        <w:spacing w:after="200" w:before="200"/>
      </w:pPr>
      <w:r>
        <w:t xml:space="preserve"/>
      </w:r>
    </w:p>
    <w:p>
      <w:pPr>
        <w:pageBreakBefore/>
        <w:spacing w:after="0" w:before="0"/>
      </w:pPr>
      <w:r>
        <w:t xml:space="preserve"/>
      </w:r>
    </w:p>
    <w:p>
      <w:pPr>
        <w:pStyle w:val="Heading1"/>
        <w:spacing w:after="180" w:before="360"/>
      </w:pPr>
      <w:r>
        <w:rPr>
          <w:rFonts w:ascii="Arial" w:cs="Arial" w:eastAsia="Arial" w:hAnsi="Arial"/>
          <w:b/>
          <w:bCs/>
          <w:color w:val="1A3A5C"/>
          <w:sz w:val="28"/>
          <w:szCs w:val="28"/>
        </w:rPr>
        <w:t xml:space="preserve">References</w:t>
      </w:r>
    </w:p>
    <w:p>
      <w:pPr>
        <w:spacing w:after="100" w:before="100"/>
      </w:pPr>
      <w:r>
        <w:rPr>
          <w:rFonts w:ascii="Arial" w:cs="Arial" w:eastAsia="Arial" w:hAnsi="Arial"/>
          <w:sz w:val="22"/>
          <w:szCs w:val="22"/>
        </w:rPr>
        <w:t xml:space="preserve">[1]  Johnson, C. (2025). Calculating Planetary Distance through Frequency-Phase Resonance and Torque Displacement. Harmonic Structures in Natural Systems Series. SemanticShift.net. Zenodo.</w:t>
      </w:r>
    </w:p>
    <w:p>
      <w:pPr>
        <w:spacing w:after="60" w:before="60"/>
      </w:pPr>
      <w:r>
        <w:t xml:space="preserve"/>
      </w:r>
    </w:p>
    <w:p>
      <w:pPr>
        <w:spacing w:after="100" w:before="100"/>
      </w:pPr>
      <w:r>
        <w:rPr>
          <w:rFonts w:ascii="Arial" w:cs="Arial" w:eastAsia="Arial" w:hAnsi="Arial"/>
          <w:sz w:val="22"/>
          <w:szCs w:val="22"/>
        </w:rPr>
        <w:t xml:space="preserve">[2]  Johnson, C. (2026). Plasma as Recursive Resonance: A Structural Foundation for Collective Modes. Harmonic Structures in Natural Systems Series. SemanticShift.net. Zenodo.</w:t>
      </w:r>
    </w:p>
    <w:p>
      <w:pPr>
        <w:spacing w:after="60" w:before="60"/>
      </w:pPr>
      <w:r>
        <w:t xml:space="preserve"/>
      </w:r>
    </w:p>
    <w:p>
      <w:pPr>
        <w:spacing w:after="100" w:before="100"/>
      </w:pPr>
      <w:r>
        <w:rPr>
          <w:rFonts w:ascii="Arial" w:cs="Arial" w:eastAsia="Arial" w:hAnsi="Arial"/>
          <w:sz w:val="22"/>
          <w:szCs w:val="22"/>
        </w:rPr>
        <w:t xml:space="preserve">[3]  Johnson, C. (2025). Law of Admissibility: Structural Invariants in Recursive Dynamics (R = 4). SemanticDrift.net. Zenodo.</w:t>
      </w:r>
    </w:p>
    <w:p>
      <w:pPr>
        <w:spacing w:after="60" w:before="60"/>
      </w:pPr>
      <w:r>
        <w:t xml:space="preserve"/>
      </w:r>
    </w:p>
    <w:p>
      <w:pPr>
        <w:spacing w:after="100" w:before="100"/>
      </w:pPr>
      <w:r>
        <w:rPr>
          <w:rFonts w:ascii="Arial" w:cs="Arial" w:eastAsia="Arial" w:hAnsi="Arial"/>
          <w:sz w:val="22"/>
          <w:szCs w:val="22"/>
        </w:rPr>
        <w:t xml:space="preserve">[4]  Johnson, C. (2025). Unified Harmonic Shells (UHS). Harmonic Structures in Natural Systems Series. SemanticShift.net. Zenodo.</w:t>
      </w:r>
    </w:p>
    <w:p>
      <w:pPr>
        <w:spacing w:after="60" w:before="60"/>
      </w:pPr>
      <w:r>
        <w:t xml:space="preserve"/>
      </w:r>
    </w:p>
    <w:p>
      <w:pPr>
        <w:spacing w:after="100" w:before="100"/>
      </w:pPr>
      <w:r>
        <w:rPr>
          <w:rFonts w:ascii="Arial" w:cs="Arial" w:eastAsia="Arial" w:hAnsi="Arial"/>
          <w:sz w:val="22"/>
          <w:szCs w:val="22"/>
        </w:rPr>
        <w:t xml:space="preserve">[5]  Dziewonski, A. M. &amp; Anderson, D. L. (1981). Preliminary Reference Earth Model (PREM). Physics of the Earth and Planetary Interiors, 25(4), 297–356.</w:t>
      </w:r>
    </w:p>
    <w:p>
      <w:pPr>
        <w:spacing w:after="60" w:before="60"/>
      </w:pPr>
      <w:r>
        <w:t xml:space="preserve"/>
      </w:r>
    </w:p>
    <w:p>
      <w:pPr>
        <w:spacing w:after="100" w:before="100"/>
      </w:pPr>
      <w:r>
        <w:rPr>
          <w:rFonts w:ascii="Arial" w:cs="Arial" w:eastAsia="Arial" w:hAnsi="Arial"/>
          <w:sz w:val="22"/>
          <w:szCs w:val="22"/>
        </w:rPr>
        <w:t xml:space="preserve">[6]  Johnson, C. (2025). Stratified Axiomatics: A Formal Mathematical Framework. Mathematical Foundations for Universal Systems Series. SemanticDrift.net. Zenodo.</w:t>
      </w:r>
    </w:p>
    <w:p>
      <w:pPr>
        <w:spacing w:after="60" w:before="60"/>
      </w:pPr>
      <w:r>
        <w:t xml:space="preserve"/>
      </w:r>
    </w:p>
    <w:p>
      <w:pPr>
        <w:spacing w:after="100" w:before="100"/>
      </w:pPr>
      <w:r>
        <w:rPr>
          <w:rFonts w:ascii="Arial" w:cs="Arial" w:eastAsia="Arial" w:hAnsi="Arial"/>
          <w:sz w:val="22"/>
          <w:szCs w:val="22"/>
        </w:rPr>
        <w:t xml:space="preserve">[7]  Bohr, N. (1913). On the Constitution of Atoms and Molecules. Philosophical Magazine, 26(1), 1–25.</w:t>
      </w:r>
    </w:p>
    <w:p>
      <w:pPr>
        <w:spacing w:after="60" w:before="60"/>
      </w:pPr>
      <w:r>
        <w:t xml:space="preserve"/>
      </w:r>
    </w:p>
    <w:p>
      <w:pPr>
        <w:spacing w:after="100" w:before="100"/>
      </w:pPr>
      <w:r>
        <w:rPr>
          <w:rFonts w:ascii="Arial" w:cs="Arial" w:eastAsia="Arial" w:hAnsi="Arial"/>
          <w:sz w:val="22"/>
          <w:szCs w:val="22"/>
        </w:rPr>
        <w:t xml:space="preserve">[8]  Schrödinger, E. (1926). Quantization as an Eigenvalue Problem. Annalen der Physik, 79(4), 361–376.</w:t>
      </w:r>
    </w:p>
    <w:p>
      <w:pPr>
        <w:spacing w:after="60" w:before="60"/>
      </w:pPr>
      <w:r>
        <w:t xml:space="preserve"/>
      </w:r>
    </w:p>
    <w:p>
      <w:pPr>
        <w:pBdr>
          <w:bottom w:val="single" w:color="CCCCCC" w:sz="4" w:space="1"/>
        </w:pBdr>
        <w:spacing w:after="200" w:before="200"/>
      </w:pPr>
      <w:r>
        <w:t xml:space="preserve"/>
      </w:r>
    </w:p>
    <w:p>
      <w:pPr>
        <w:spacing w:after="0" w:before="200"/>
        <w:jc w:val="center"/>
      </w:pPr>
      <w:r>
        <w:rPr>
          <w:rFonts w:ascii="Arial" w:cs="Arial" w:eastAsia="Arial" w:hAnsi="Arial"/>
          <w:i/>
          <w:iCs/>
          <w:color w:val="666666"/>
          <w:sz w:val="18"/>
          <w:szCs w:val="18"/>
        </w:rPr>
        <w:t xml:space="preserve">© 2026 Carolina Johnson (CJ). Licensed under Creative Commons Attribution 4.0 International (CC BY 4.0). Attribution required.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5C"/>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2E4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2026-06-04T05:20:44.814Z</dcterms:created>
  <dcterms:modified xsi:type="dcterms:W3CDTF">2026-06-04T05:20:44.828Z</dcterms:modified>
</cp:coreProperties>
</file>

<file path=docProps/custom.xml><?xml version="1.0" encoding="utf-8"?>
<Properties xmlns="http://schemas.openxmlformats.org/officeDocument/2006/custom-properties" xmlns:vt="http://schemas.openxmlformats.org/officeDocument/2006/docPropsVTypes"/>
</file>