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Step 0: Clearly outline substantive research question(s). Is there a semantic priming effect? Does the effect differ across languages?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1: Expert selection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Purposive sampling: research team identifies potential contributors based on their knowledge of the field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Research team launches a more broad call (e.g., many analyst projects). In the context of the PSA, they can also contact everyone involved in the “main” study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Meta-analysis-type literature search with certain keywords (e.g., semantic priming, continuous lexical decision), scan articles for appropriateness, and contact corresponding authors.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Snowball procedure: as part of the Step 2 questionnaire, contributors can nominate other researchers (similar to suggesting reviewers in a manuscript submission procedure)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Step 1.5: Identify Analysis Degrees of Freedom</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Using the pathways from papers selected in Step 1, identify common pathways in the following areas of analysis: data cleaning/data processing, assumptions, analysis.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Use these steps of analysis to design pathway solicitation as described below, potentially with open ended questions first (no bias) and then directed questions within these analysis checkpoints.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2: Pathway elicitation/selection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Ask potential contributors to describe as concretely as possible (potentially with pseudo-code) the pathways they consider suitable. One might argue/object that access to the data is necessary. One can accommodate this to some degree by using existing datasets (semantic priming project; available CLD priming data). Critically, the idea is that the pathways can’t be influenced by the eventual outcome (e.g., “is there a significant priming effect”), because confirmation bias and hindsight bias might influence pathway selection. This questionnaire could also include questions regarding expertise etc. but maybe we want to cast a wide net initially?</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Select the pathways from the papers selected in Step 1 (the meta-analysis-type literature search). Only select empirical papers with clear analytic pathways (who should code this? two coders to reduce possibility of bias). With regard to the latter, we don’t have access to the data at this point, so we can’t be biased in that respect. Generally speaking though, many multiverse analyses are conducted on secondary data, so it might be a worry. Could be solved by using coders without access to the data.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3: Combining pathways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Research team processes the data from step 2 and identifies which pathways can be combined. This results in the “full” multiverse.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4 Pathway validation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All the choices from the full multiverse analysis will be presented to potential collaborators. They could evaluate them based on criteria by Del Guidice and Gangestad (2021), order them in terms of suitability. Here (and also in Step 2?), it is of crucial importance to identify the goal(s) of the multiverse: assessing robustness of the effect, testing boundary conditions, and transparency. More on that in a separate section below (not included yet). Maybe it might even make sense to include a short vignette for each goal that could be included in the questionnaire. Here, I would include questions about expertise, confidence,… I think this should be doable from the point of view of contributors. However, the big question is how to translate this output in the eventual multiverse. I don’t think it is feasible to do the entire multiverse constructed in Step 2, at least for SPAML. If it would, you can then do that multiverse and weigh the pathways based on the validators’ assessment of suitability. However, in SPAML’s case, I suspect, it will not be feasible to exhaustively consider all possibilities. In that case, one could use the validators’ assessment of suitability and select the top X pathways. Alternatively, or additionally, one could draw a random sample from the pathways (and use validators’ assessment of suitability as a weight, either for the sampling, or later when processing the outcomes of the pathways).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questions (some are already in the descriptions):</w:t>
      </w:r>
    </w:p>
    <w:p w:rsidR="00000000" w:rsidDel="00000000" w:rsidP="00000000" w:rsidRDefault="00000000" w:rsidRPr="00000000" w14:paraId="00000018">
      <w:pPr>
        <w:numPr>
          <w:ilvl w:val="0"/>
          <w:numId w:val="3"/>
        </w:numPr>
        <w:spacing w:after="0" w:afterAutospacing="0" w:before="240" w:lineRule="auto"/>
        <w:ind w:left="720" w:hanging="360"/>
        <w:rPr>
          <w:u w:val="none"/>
        </w:rPr>
      </w:pPr>
      <w:r w:rsidDel="00000000" w:rsidR="00000000" w:rsidRPr="00000000">
        <w:rPr>
          <w:rtl w:val="0"/>
        </w:rPr>
        <w:t xml:space="preserve">Should we limit Step 0 to “is there a semantic priming effect”?</w:t>
      </w:r>
    </w:p>
    <w:p w:rsidR="00000000" w:rsidDel="00000000" w:rsidP="00000000" w:rsidRDefault="00000000" w:rsidRPr="00000000" w14:paraId="00000019">
      <w:pPr>
        <w:numPr>
          <w:ilvl w:val="1"/>
          <w:numId w:val="3"/>
        </w:numPr>
        <w:spacing w:after="0" w:afterAutospacing="0" w:before="0" w:beforeAutospacing="0" w:lineRule="auto"/>
        <w:ind w:left="1440" w:hanging="360"/>
        <w:rPr>
          <w:u w:val="none"/>
        </w:rPr>
      </w:pPr>
      <w:r w:rsidDel="00000000" w:rsidR="00000000" w:rsidRPr="00000000">
        <w:rPr>
          <w:rtl w:val="0"/>
        </w:rPr>
        <w:t xml:space="preserve">I think for this example, yes, mostly because it’s a very broad question already. </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Same researchers for Step 2 and 4? Or different “validators”?</w:t>
      </w:r>
    </w:p>
    <w:p w:rsidR="00000000" w:rsidDel="00000000" w:rsidP="00000000" w:rsidRDefault="00000000" w:rsidRPr="00000000" w14:paraId="0000001B">
      <w:pPr>
        <w:numPr>
          <w:ilvl w:val="1"/>
          <w:numId w:val="3"/>
        </w:numPr>
        <w:spacing w:after="0" w:afterAutospacing="0" w:before="0" w:beforeAutospacing="0" w:lineRule="auto"/>
        <w:ind w:left="1440" w:hanging="360"/>
        <w:rPr>
          <w:u w:val="none"/>
        </w:rPr>
      </w:pPr>
      <w:r w:rsidDel="00000000" w:rsidR="00000000" w:rsidRPr="00000000">
        <w:rPr>
          <w:rtl w:val="0"/>
        </w:rPr>
        <w:t xml:space="preserve">I would vote for the same people. Or at least sample from the same pool and you might not get the same exact people twice but at least a good sample for both. </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How to go about this practically? I could maybe see it as a Registered report: First submit proposal for procedure, and then put it in practice? Advantage is that we could get started with a small group (maybe involve a few other experienced multiverse people?), and get a green light before involving collaborators. The “outcome” would be the pathways or also the outcome of the multiverse? In the latter case, the deadline (for Stage 2) depends on that of the main SPAML project. Other disadvantage is that the purpose/take-home message might get blurry: the procedure to arrive at a multiverse systematically + a multiverse that can be applied to different kind of semantic priming studies (and beyond) + whether semantic priming is robust. Maybe the outcome could be just the first two, and the result of the multiverse analysis itself could be included in NHB (as exploratory)?</w:t>
      </w:r>
    </w:p>
    <w:p w:rsidR="00000000" w:rsidDel="00000000" w:rsidP="00000000" w:rsidRDefault="00000000" w:rsidRPr="00000000" w14:paraId="0000001D">
      <w:pPr>
        <w:numPr>
          <w:ilvl w:val="1"/>
          <w:numId w:val="3"/>
        </w:numPr>
        <w:spacing w:after="0" w:afterAutospacing="0" w:before="0" w:beforeAutospacing="0" w:lineRule="auto"/>
        <w:ind w:left="1440" w:hanging="360"/>
        <w:rPr>
          <w:u w:val="none"/>
        </w:rPr>
      </w:pPr>
      <w:r w:rsidDel="00000000" w:rsidR="00000000" w:rsidRPr="00000000">
        <w:rPr>
          <w:rtl w:val="0"/>
        </w:rPr>
        <w:t xml:space="preserve">I could see this going either way. If we do the RR, maybe use the PCL </w:t>
      </w:r>
      <w:hyperlink r:id="rId6">
        <w:r w:rsidDel="00000000" w:rsidR="00000000" w:rsidRPr="00000000">
          <w:rPr>
            <w:color w:val="1155cc"/>
            <w:u w:val="single"/>
            <w:rtl w:val="0"/>
          </w:rPr>
          <w:t xml:space="preserve">https://rr.peercommunityin.org/</w:t>
        </w:r>
      </w:hyperlink>
      <w:r w:rsidDel="00000000" w:rsidR="00000000" w:rsidRPr="00000000">
        <w:rPr>
          <w:rtl w:val="0"/>
        </w:rPr>
        <w:t xml:space="preserve"> unless you have a specific journal in mind. To me, this seems like a great Psych Methods or BRM paper, but neither do RRs. </w:t>
      </w:r>
    </w:p>
    <w:p w:rsidR="00000000" w:rsidDel="00000000" w:rsidP="00000000" w:rsidRDefault="00000000" w:rsidRPr="00000000" w14:paraId="0000001E">
      <w:pPr>
        <w:numPr>
          <w:ilvl w:val="1"/>
          <w:numId w:val="3"/>
        </w:numPr>
        <w:spacing w:after="240" w:before="0" w:beforeAutospacing="0" w:lineRule="auto"/>
        <w:ind w:left="1440" w:hanging="360"/>
        <w:rPr>
          <w:u w:val="none"/>
        </w:rPr>
      </w:pPr>
      <w:hyperlink r:id="rId7">
        <w:r w:rsidDel="00000000" w:rsidR="00000000" w:rsidRPr="00000000">
          <w:rPr>
            <w:color w:val="1155cc"/>
            <w:u w:val="single"/>
            <w:rtl w:val="0"/>
          </w:rPr>
          <w:t xml:space="preserve">https://www.apa.org/pubs/journals/met/call-for-papers-tutorials</w:t>
        </w:r>
      </w:hyperlink>
      <w:r w:rsidDel="00000000" w:rsidR="00000000" w:rsidRPr="00000000">
        <w:rPr>
          <w:rtl w:val="0"/>
        </w:rPr>
        <w:t xml:space="preserve"> Psych Methods is specifically asking for tutorials, so might be a good shot to aim high?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r.peercommunityin.org/" TargetMode="External"/><Relationship Id="rId7" Type="http://schemas.openxmlformats.org/officeDocument/2006/relationships/hyperlink" Target="https://www.apa.org/pubs/journals/met/call-for-paper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