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Overconfidence</w:t>
      </w:r>
      <w:r>
        <w:t xml:space="preserve"> </w:t>
      </w:r>
      <w:r>
        <w:t xml:space="preserve">for</w:t>
      </w:r>
      <w:r>
        <w:t xml:space="preserve"> </w:t>
      </w:r>
      <w:r>
        <w:t xml:space="preserve">picture</w:t>
      </w:r>
      <w:r>
        <w:t xml:space="preserve"> </w:t>
      </w:r>
      <w:r>
        <w:t xml:space="preserve">cues</w:t>
      </w:r>
      <w:r>
        <w:t xml:space="preserve"> </w:t>
      </w:r>
      <w:r>
        <w:t xml:space="preserve">in</w:t>
      </w:r>
      <w:r>
        <w:t xml:space="preserve"> </w:t>
      </w:r>
      <w:r>
        <w:t xml:space="preserve">foreign</w:t>
      </w:r>
      <w:r>
        <w:t xml:space="preserve"> </w:t>
      </w:r>
      <w:r>
        <w:t xml:space="preserve">language</w:t>
      </w:r>
      <w:r>
        <w:t xml:space="preserve"> </w:t>
      </w:r>
      <w:r>
        <w:t xml:space="preserve">learning</w:t>
      </w:r>
    </w:p>
    <w:p>
      <w:pPr>
        <w:pStyle w:val="Author"/>
      </w:pPr>
      <w:r>
        <w:t xml:space="preserve">Jason</w:t>
      </w:r>
      <w:r>
        <w:t xml:space="preserve"> </w:t>
      </w:r>
      <w:r>
        <w:t xml:space="preserve">Geller</w:t>
      </w:r>
    </w:p>
    <w:p>
      <w:pPr>
        <w:pStyle w:val="Date"/>
      </w:pPr>
      <w:r>
        <w:t xml:space="preserve">2023-03-28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3898934</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(psych)</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StringTok"/>
        </w:rPr>
        <w:t xml:space="preserve">"dv"</w:t>
      </w:r>
      <w:r>
        <w:rPr>
          <w:rStyle w:val="NormalTok"/>
        </w:rPr>
        <w:t xml:space="preserve"> </w:t>
      </w:r>
      <w:r>
        <w:rPr>
          <w:rStyle w:val="OtherTok"/>
        </w:rPr>
        <w:t xml:space="preserve">=</w:t>
      </w:r>
      <w:r>
        <w:rPr>
          <w:rStyle w:val="NormalTok"/>
        </w:rPr>
        <w:t xml:space="preserve"> data[ , dv_col],</w:t>
      </w:r>
      <w:r>
        <w:br/>
      </w:r>
      <w:r>
        <w:rPr>
          <w:rStyle w:val="NormalTok"/>
        </w:rPr>
        <w:t xml:space="preserve">    </w:t>
      </w:r>
      <w:r>
        <w:rPr>
          <w:rStyle w:val="StringTok"/>
        </w:rPr>
        <w:t xml:space="preserve">"items"</w:t>
      </w:r>
      <w:r>
        <w:rPr>
          <w:rStyle w:val="NormalTok"/>
        </w:rPr>
        <w:t xml:space="preserve"> </w:t>
      </w:r>
      <w:r>
        <w:rPr>
          <w:rStyle w:val="OtherTok"/>
        </w:rPr>
        <w:t xml:space="preserve">=</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Overconfidence for picture cues in foreign language learning</w:t>
      </w:r>
    </w:p>
    <w:p>
      <w:pPr>
        <w:pStyle w:val="BodyText"/>
      </w:pPr>
      <w:r>
        <w:t xml:space="preserve">Data provided by: Jason Geller</w:t>
      </w:r>
    </w:p>
    <w:bookmarkEnd w:id="21"/>
    <w:bookmarkStart w:id="22" w:name="projectdata-description"/>
    <w:p>
      <w:pPr>
        <w:pStyle w:val="Heading3"/>
      </w:pPr>
      <w:r>
        <w:t xml:space="preserve">Project/Data Description:</w:t>
      </w:r>
    </w:p>
    <w:p>
      <w:pPr>
        <w:pStyle w:val="FirstParagraph"/>
      </w:pPr>
      <w:r>
        <w:t xml:space="preserve">Previous research shows that participants are overconfident in their ability to learn foreign language vocabulary from pictures compared with English translations. The current study explored whether this tendency is due to processing fluency or beliefs about learning. Using self-paced study of Swahili words paired with either picture cues or English translation cues, 30 participants provided JOLs to each of the 42 English-Swahili word pairs from Carpenter and Olson’s (2012) Experiment 2.The English words were one-syllable nouns, ranging between three and six letters, with an average concreteness rating of 4.86 on a 5-point scale (SD = .16) (Brysbaert, Warriner, &amp; Kuperman, 2014), and an average frequency of 106.52 per million (SD = 113.40) (Brysbaert &amp; New, 2009).</w:t>
      </w:r>
    </w:p>
    <w:bookmarkEnd w:id="22"/>
    <w:bookmarkStart w:id="23" w:name="methods-description"/>
    <w:p>
      <w:pPr>
        <w:pStyle w:val="Heading3"/>
      </w:pPr>
      <w:r>
        <w:t xml:space="preserve">Methods Description:</w:t>
      </w:r>
    </w:p>
    <w:p>
      <w:pPr>
        <w:pStyle w:val="FirstParagraph"/>
      </w:pPr>
      <w:r>
        <w:t xml:space="preserve">Participants began the experiment with instructions informing them that they would be learning Swahili words paired with either pictures or English translations as cues. To illustrate each type of cue, they were given an example of an item (Train: Reli) that was not included among the 42 experimental items. They were informed that each pair of items (English-Swahili pairs or picture-Swahili pairs) would be presented one at a time, and they would have as much time as they needed to study it. Participants were encouraged to do their best to learn each pair, and to encourage full and meaningful processing of each, they were instructed to press the spacebar once they felt they had fully</w:t>
      </w:r>
      <w:r>
        <w:t xml:space="preserve"> </w:t>
      </w:r>
      <w:r>
        <w:t xml:space="preserve">“</w:t>
      </w:r>
      <w:r>
        <w:t xml:space="preserve">digested</w:t>
      </w:r>
      <w:r>
        <w:t xml:space="preserve">”</w:t>
      </w:r>
      <w:r>
        <w:t xml:space="preserve"> </w:t>
      </w:r>
      <w:r>
        <w:t xml:space="preserve">it. For each participant, 21 items were randomly selected to be presented as English-Swahili pairs, and 21 as picture-Swahili pairs. Participants saw each stimulus pair one at a time, in a unique random order with English-Swahili pairs and picture-Swahili pairs intermixed. Each pair was presented in the center of the computer screen and remained on screen until participants pressed the spacebar to move on to the next pair. After each of the 42 pairs was presented for self-paced study in this way, the same pairs were presented again for JOLs. During a JOL trial, each cue-target pair was presented on the screen and participants were asked to estimate—using a scale from 0% (definitely will NOT recall) to 100% (definitely will recall)—the likelihood of recalling the Swahili word from its cue (either the picture or English translation) after about 5 minutes. Participants entered a value between 0 and 100 and pressed the ENTER key to advance to the next item.</w:t>
      </w:r>
    </w:p>
    <w:bookmarkEnd w:id="23"/>
    <w:bookmarkStart w:id="25" w:name="data-location"/>
    <w:p>
      <w:pPr>
        <w:pStyle w:val="Heading3"/>
      </w:pPr>
      <w:r>
        <w:t xml:space="preserve">Data Location:</w:t>
      </w:r>
    </w:p>
    <w:p>
      <w:pPr>
        <w:pStyle w:val="FirstParagraph"/>
      </w:pPr>
      <w:r>
        <w:t xml:space="preserve">Data can be found here:</w:t>
      </w:r>
      <w:r>
        <w:t xml:space="preserve"> </w:t>
      </w:r>
      <w:hyperlink r:id="rId24">
        <w:r>
          <w:rPr>
            <w:rStyle w:val="Hyperlink"/>
          </w:rPr>
          <w:t xml:space="preserve">https://osf.io/2byt9/</w:t>
        </w:r>
      </w:hyperlink>
      <w:r>
        <w:t xml:space="preserve">.</w:t>
      </w:r>
    </w:p>
    <w:p>
      <w:pPr>
        <w:pStyle w:val="SourceCode"/>
      </w:pPr>
      <w:r>
        <w:rPr>
          <w:rStyle w:val="CommentTok"/>
        </w:rPr>
        <w:t xml:space="preserve">#read in data</w:t>
      </w:r>
      <w:r>
        <w:br/>
      </w: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"geller_data.xlsx"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(Experiment, Subject, </w:t>
      </w:r>
      <w:r>
        <w:rPr>
          <w:rStyle w:val="StringTok"/>
        </w:rPr>
        <w:t xml:space="preserve">`</w:t>
      </w:r>
      <w:r>
        <w:rPr>
          <w:rStyle w:val="AttributeTok"/>
        </w:rPr>
        <w:t xml:space="preserve">CueType[1Word,2Pic]</w:t>
      </w:r>
      <w:r>
        <w:rPr>
          <w:rStyle w:val="StringTok"/>
        </w:rPr>
        <w:t xml:space="preserve">`</w:t>
      </w:r>
      <w:r>
        <w:rPr>
          <w:rStyle w:val="NormalTok"/>
        </w:rPr>
        <w:t xml:space="preserve">, Stimulus, EncodeJOL)</w:t>
      </w:r>
    </w:p>
    <w:p>
      <w:pPr>
        <w:pStyle w:val="SourceCode"/>
      </w:pPr>
      <w:r>
        <w:rPr>
          <w:rStyle w:val="VerbatimChar"/>
        </w:rPr>
        <w:t xml:space="preserve">## Warning: Expecting numeric in J2069 / R2069C10: got 'jico'</w:t>
      </w:r>
    </w:p>
    <w:p>
      <w:pPr>
        <w:pStyle w:val="SourceCode"/>
      </w:pPr>
      <w:r>
        <w:rPr>
          <w:rStyle w:val="FunctionTok"/>
        </w:rPr>
        <w:t xml:space="preserve">str</w:t>
      </w:r>
      <w:r>
        <w:rPr>
          <w:rStyle w:val="NormalTok"/>
        </w:rPr>
        <w:t xml:space="preserve">(DF)</w:t>
      </w:r>
    </w:p>
    <w:p>
      <w:pPr>
        <w:pStyle w:val="SourceCode"/>
      </w:pPr>
      <w:r>
        <w:rPr>
          <w:rStyle w:val="VerbatimChar"/>
        </w:rPr>
        <w:t xml:space="preserve">## 'data.frame':    2898 obs. of  5 variables:</w:t>
      </w:r>
      <w:r>
        <w:br/>
      </w:r>
      <w:r>
        <w:rPr>
          <w:rStyle w:val="VerbatimChar"/>
        </w:rPr>
        <w:t xml:space="preserve">##  $ Experiment         : num  1 1 1 1 1 1 1 1 1 1 ...</w:t>
      </w:r>
      <w:r>
        <w:br/>
      </w:r>
      <w:r>
        <w:rPr>
          <w:rStyle w:val="VerbatimChar"/>
        </w:rPr>
        <w:t xml:space="preserve">##  $ Subject            : num  1 1 1 1 1 1 1 1 1 1 ...</w:t>
      </w:r>
      <w:r>
        <w:br/>
      </w:r>
      <w:r>
        <w:rPr>
          <w:rStyle w:val="VerbatimChar"/>
        </w:rPr>
        <w:t xml:space="preserve">##  $ CueType[1Word,2Pic]: num  1 1 1 1 1 1 1 1 1 1 ...</w:t>
      </w:r>
      <w:r>
        <w:br/>
      </w:r>
      <w:r>
        <w:rPr>
          <w:rStyle w:val="VerbatimChar"/>
        </w:rPr>
        <w:t xml:space="preserve">##  $ Stimulus           : chr  "kidoto" "muhindi" "kiti" "jaluba" ...</w:t>
      </w:r>
      <w:r>
        <w:br/>
      </w:r>
      <w:r>
        <w:rPr>
          <w:rStyle w:val="VerbatimChar"/>
        </w:rPr>
        <w:t xml:space="preserve">##  $ EncodeJOL          : num  1 1 1 1 1 1 1 1 1 1 ...</w:t>
      </w:r>
    </w:p>
    <w:bookmarkEnd w:id="25"/>
    <w:bookmarkStart w:id="26" w:name="date-published"/>
    <w:p>
      <w:pPr>
        <w:pStyle w:val="Heading3"/>
      </w:pPr>
      <w:r>
        <w:t xml:space="preserve">Date Published:</w:t>
      </w:r>
    </w:p>
    <w:p>
      <w:pPr>
        <w:pStyle w:val="FirstParagraph"/>
      </w:pPr>
      <w:r>
        <w:t xml:space="preserve">No official publication, see citation below.</w:t>
      </w:r>
    </w:p>
    <w:bookmarkEnd w:id="26"/>
    <w:bookmarkStart w:id="28" w:name="dataset-citation"/>
    <w:p>
      <w:pPr>
        <w:pStyle w:val="Heading3"/>
      </w:pPr>
      <w:r>
        <w:t xml:space="preserve">Dataset Citation:</w:t>
      </w:r>
    </w:p>
    <w:p>
      <w:pPr>
        <w:pStyle w:val="FirstParagraph"/>
      </w:pPr>
      <w:r>
        <w:t xml:space="preserve">Carpenter, S. K., &amp; Geller, J. (2020). Is a picture really worth a thousand words? Evaluating contributions of fluency and analytic processing in metacognitive judgements for pictures in foreign language vocabulary learning. Quarterly Journal of Experimental Psychology, 73(2), 211–224.</w:t>
      </w:r>
      <w:r>
        <w:t xml:space="preserve"> </w:t>
      </w:r>
      <w:hyperlink r:id="rId27">
        <w:r>
          <w:rPr>
            <w:rStyle w:val="Hyperlink"/>
          </w:rPr>
          <w:t xml:space="preserve">https://doi.org/10.1177/1747021819879416</w:t>
        </w:r>
      </w:hyperlink>
    </w:p>
    <w:bookmarkEnd w:id="28"/>
    <w:bookmarkStart w:id="29" w:name="keywords"/>
    <w:p>
      <w:pPr>
        <w:pStyle w:val="Heading3"/>
      </w:pPr>
      <w:r>
        <w:t xml:space="preserve">Keywords:</w:t>
      </w:r>
    </w:p>
    <w:p>
      <w:pPr>
        <w:pStyle w:val="FirstParagraph"/>
      </w:pPr>
      <w:r>
        <w:t xml:space="preserve">Overconfidence, metacognition, processing fluency, analytic processing, foreign language learning</w:t>
      </w:r>
    </w:p>
    <w:bookmarkEnd w:id="29"/>
    <w:bookmarkStart w:id="30" w:name="use-license"/>
    <w:p>
      <w:pPr>
        <w:pStyle w:val="Heading3"/>
      </w:pPr>
      <w:r>
        <w:t xml:space="preserve">Use License:</w:t>
      </w:r>
    </w:p>
    <w:p>
      <w:pPr>
        <w:pStyle w:val="FirstParagraph"/>
      </w:pPr>
      <w:r>
        <w:t xml:space="preserve">Open access with reference to original paper (Attribution-NonCommercial-ShareAlike CC BY-NC-SA)</w:t>
      </w:r>
    </w:p>
    <w:bookmarkEnd w:id="30"/>
    <w:bookmarkStart w:id="31" w:name="X8bbdf330e29fa3263c5621e09333b4c6193daa1"/>
    <w:p>
      <w:pPr>
        <w:pStyle w:val="Heading3"/>
      </w:pPr>
      <w:r>
        <w:t xml:space="preserve">Geographic Description - City/State/Country of Participants:</w:t>
      </w:r>
    </w:p>
    <w:p>
      <w:pPr>
        <w:pStyle w:val="FirstParagraph"/>
      </w:pPr>
      <w:r>
        <w:t xml:space="preserve">Ames, Iowa</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Variable.Name,                                                                  </w:t>
      </w:r>
      <w:r>
        <w:rPr>
          <w:rStyle w:val="SpecialCharTok"/>
        </w:rPr>
        <w:t xml:space="preserve">~</w:t>
      </w:r>
      <w:r>
        <w:rPr>
          <w:rStyle w:val="NormalTok"/>
        </w:rPr>
        <w:t xml:space="preserve">Variable.Description, </w:t>
      </w:r>
      <w:r>
        <w:rPr>
          <w:rStyle w:val="SpecialCharTok"/>
        </w:rPr>
        <w:t xml:space="preserve">~</w:t>
      </w:r>
      <w:r>
        <w:rPr>
          <w:rStyle w:val="StringTok"/>
        </w:rPr>
        <w:t xml:space="preserve">`</w:t>
      </w:r>
      <w:r>
        <w:rPr>
          <w:rStyle w:val="AttributeTok"/>
        </w:rPr>
        <w:t xml:space="preserve">Type (numeric,.character,.logical,.etc.)</w:t>
      </w:r>
      <w:r>
        <w:rPr>
          <w:rStyle w:val="StringTok"/>
        </w:rPr>
        <w:t xml:space="preserve">`</w:t>
      </w:r>
      <w:r>
        <w:rPr>
          <w:rStyle w:val="NormalTok"/>
        </w:rPr>
        <w:t xml:space="preserve">,</w:t>
      </w:r>
      <w:r>
        <w:br/>
      </w:r>
      <w:r>
        <w:rPr>
          <w:rStyle w:val="NormalTok"/>
        </w:rPr>
        <w:t xml:space="preserve">               </w:t>
      </w:r>
      <w:r>
        <w:rPr>
          <w:rStyle w:val="StringTok"/>
        </w:rPr>
        <w:t xml:space="preserve">"Experiment"</w:t>
      </w:r>
      <w:r>
        <w:rPr>
          <w:rStyle w:val="NormalTok"/>
        </w:rPr>
        <w:t xml:space="preserve">,                                                 </w:t>
      </w:r>
      <w:r>
        <w:rPr>
          <w:rStyle w:val="StringTok"/>
        </w:rPr>
        <w:t xml:space="preserve">"Experiment 1 (1) or 2 (2) ONLY USE 1"</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"Subject"</w:t>
      </w:r>
      <w:r>
        <w:rPr>
          <w:rStyle w:val="NormalTok"/>
        </w:rPr>
        <w:t xml:space="preserve">,                                                                           </w:t>
      </w:r>
      <w:r>
        <w:rPr>
          <w:rStyle w:val="StringTok"/>
        </w:rPr>
        <w:t xml:space="preserve">"Subject ID"</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"CueType"</w:t>
      </w:r>
      <w:r>
        <w:rPr>
          <w:rStyle w:val="NormalTok"/>
        </w:rPr>
        <w:t xml:space="preserve">, </w:t>
      </w:r>
      <w:r>
        <w:rPr>
          <w:rStyle w:val="StringTok"/>
        </w:rPr>
        <w:t xml:space="preserve">"Whether participant was presented with word translation (1) or word with picture (2)"</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StringTok"/>
        </w:rPr>
        <w:t xml:space="preserve">"Stimulus"</w:t>
      </w:r>
      <w:r>
        <w:rPr>
          <w:rStyle w:val="NormalTok"/>
        </w:rPr>
        <w:t xml:space="preserve">,                                                </w:t>
      </w:r>
      <w:r>
        <w:rPr>
          <w:rStyle w:val="StringTok"/>
        </w:rPr>
        <w:t xml:space="preserve">"Swahili words presented on each trail"</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StringTok"/>
        </w:rPr>
        <w:t xml:space="preserve">"EncodeJOL"</w:t>
      </w:r>
      <w:r>
        <w:rPr>
          <w:rStyle w:val="NormalTok"/>
        </w:rPr>
        <w:t xml:space="preserve">,                         </w:t>
      </w:r>
      <w:r>
        <w:rPr>
          <w:rStyle w:val="StringTok"/>
        </w:rPr>
        <w:t xml:space="preserve">"JOL (1-100) 1=not likely to recall 100=very likely to recall"</w:t>
      </w:r>
      <w:r>
        <w:rPr>
          <w:rStyle w:val="NormalTok"/>
        </w:rPr>
        <w:t xml:space="preserve">,                                   </w:t>
      </w:r>
      <w:r>
        <w:rPr>
          <w:rStyle w:val="StringTok"/>
        </w:rPr>
        <w:t xml:space="preserve">"Numeric"</w:t>
      </w:r>
      <w:r>
        <w:br/>
      </w:r>
      <w:r>
        <w:rPr>
          <w:rStyle w:val="NormalTok"/>
        </w:rPr>
        <w:t xml:space="preserve">             )</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8505"/>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(numeric,.character,.logical,.etc.)</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Experiment 1 (1) or 2 (2) ONLY USE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CueType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Whether participant was presented with word translation (1) or word with picture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Stimulus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Swahili words presented on each trail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2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EncodeJOL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JOL (1-100) 1=not likely to recall 100=very likely to recall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bookmarkStart w:id="33" w:name="stopping-rule"/>
    <w:p>
      <w:pPr>
        <w:pStyle w:val="Heading4"/>
      </w:pPr>
      <w:r>
        <w:t xml:space="preserve">Stopping Rule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(Experiment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(EncodeJOL))</w:t>
      </w:r>
      <w:r>
        <w:br/>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"EncodeJOL"</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"Stimulus"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p>
    <w:p>
      <w:pPr>
        <w:pStyle w:val="FirstParagraph"/>
      </w:pPr>
      <w:r>
        <w:t xml:space="preserve">What the usual standard error for the data that could be considered for our stopping rule using the 50%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andiko      bao  bunduki    chaka   chapeo chimbule   daraja   dawati </w:t>
      </w:r>
      <w:r>
        <w:br/>
      </w:r>
      <w:r>
        <w:rPr>
          <w:rStyle w:val="VerbatimChar"/>
        </w:rPr>
        <w:t xml:space="preserve">## 5.569863 5.421327 6.467708 5.812192 5.232406 5.964306 5.006286 4.295635 </w:t>
      </w:r>
      <w:r>
        <w:br/>
      </w:r>
      <w:r>
        <w:rPr>
          <w:rStyle w:val="VerbatimChar"/>
        </w:rPr>
        <w:t xml:space="preserve">##     dubu   duwara   farasi      fia     fupa     gari     geli     jaja </w:t>
      </w:r>
      <w:r>
        <w:br/>
      </w:r>
      <w:r>
        <w:rPr>
          <w:rStyle w:val="VerbatimChar"/>
        </w:rPr>
        <w:t xml:space="preserve">## 6.825573 3.857377 6.126705 5.192728 6.954286 6.092600 5.496488 7.424850 </w:t>
      </w:r>
      <w:r>
        <w:br/>
      </w:r>
      <w:r>
        <w:rPr>
          <w:rStyle w:val="VerbatimChar"/>
        </w:rPr>
        <w:t xml:space="preserve">##   jaluba    jicho     jiti    jumba     juya   kanisa     kelb   kidoto </w:t>
      </w:r>
      <w:r>
        <w:br/>
      </w:r>
      <w:r>
        <w:rPr>
          <w:rStyle w:val="VerbatimChar"/>
        </w:rPr>
        <w:t xml:space="preserve">## 4.803243 5.649133 6.229624 5.405121 3.783108 6.245590 6.311649 4.324860 </w:t>
      </w:r>
      <w:r>
        <w:br/>
      </w:r>
      <w:r>
        <w:rPr>
          <w:rStyle w:val="VerbatimChar"/>
        </w:rPr>
        <w:t xml:space="preserve">##   kipira  kitanda     kiti   maliki    mapwa    mkono   mlango  muhindi </w:t>
      </w:r>
      <w:r>
        <w:br/>
      </w:r>
      <w:r>
        <w:rPr>
          <w:rStyle w:val="VerbatimChar"/>
        </w:rPr>
        <w:t xml:space="preserve">## 5.895944 5.515605 6.404627 6.614947 6.634286 7.609701 5.745819 5.471669 </w:t>
      </w:r>
      <w:r>
        <w:br/>
      </w:r>
      <w:r>
        <w:rPr>
          <w:rStyle w:val="VerbatimChar"/>
        </w:rPr>
        <w:t xml:space="preserve">##   muundi papatiko      pua    rinda     riza   safina   samaki     simu </w:t>
      </w:r>
      <w:r>
        <w:br/>
      </w:r>
      <w:r>
        <w:rPr>
          <w:rStyle w:val="VerbatimChar"/>
        </w:rPr>
        <w:t xml:space="preserve">## 6.108910 6.681585 6.309811 5.378363 6.045881 6.548968 5.384973 5.490716 </w:t>
      </w:r>
      <w:r>
        <w:br/>
      </w:r>
      <w:r>
        <w:rPr>
          <w:rStyle w:val="VerbatimChar"/>
        </w:rPr>
        <w:t xml:space="preserve">##  ufunguo    wardi </w:t>
      </w:r>
      <w:r>
        <w:br/>
      </w:r>
      <w:r>
        <w:rPr>
          <w:rStyle w:val="VerbatimChar"/>
        </w:rPr>
        <w:t xml:space="preserve">## 6.229707 5.739385</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5.854068</w:t>
      </w:r>
    </w:p>
    <w:p>
      <w:pPr>
        <w:pStyle w:val="FirstParagraph"/>
      </w:pPr>
      <w:r>
        <w:t xml:space="preserve">Using our 50% decile as a guide, we find that 5.854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5.854?</w:t>
      </w:r>
    </w:p>
    <w:p>
      <w:pPr>
        <w:pStyle w:val="SourceCode"/>
      </w:pPr>
      <w:r>
        <w:rPr>
          <w:rStyle w:val="FunctionTok"/>
        </w:rPr>
        <w:t xml:space="preserve">flextable</w:t>
      </w:r>
      <w:r>
        <w:rPr>
          <w:rStyle w:val="NormalTok"/>
        </w:rPr>
        <w:t xml:space="preserve">(var1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new_sample))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0.8095238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0.9523810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0.9761905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5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5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r>
      <w:tr>
        <w:trPr>
          <w:trHeight w:val="5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r>
        <w:trPr>
          <w:trHeight w:val="5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w:t>
            </w:r>
          </w:p>
        </w:tc>
      </w:tr>
      <w:tr>
        <w:trPr>
          <w:trHeight w:val="56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r>
      <w:tr>
        <w:trPr>
          <w:trHeight w:val="569"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r>
    </w:tbl>
    <w:p>
      <w:pPr>
        <w:pStyle w:val="FirstParagraph"/>
      </w:pPr>
      <w:r>
        <w:t xml:space="preserve">Our minimum sample size is (</w:t>
      </w:r>
      <w:r>
        <w:rPr>
          <w:iCs/>
          <w:i/>
        </w:rPr>
        <w:t xml:space="preserve">n</w:t>
      </w:r>
      <w:r>
        <w:t xml:space="preserve"> </w:t>
      </w:r>
      <w:r>
        <w:t xml:space="preserve">= 31 as the minimum at 80%). We could consider using 90% (</w:t>
      </w:r>
      <w:r>
        <w:rPr>
          <w:iCs/>
          <w:i/>
        </w:rPr>
        <w:t xml:space="preserve">n</w:t>
      </w:r>
      <w:r>
        <w:t xml:space="preserve"> </w:t>
      </w:r>
      <w:r>
        <w:t xml:space="preserve">= 35) or 95% (</w:t>
      </w:r>
      <w:r>
        <w:rPr>
          <w:iCs/>
          <w:i/>
        </w:rPr>
        <w:t xml:space="preserve">n</w:t>
      </w:r>
      <w:r>
        <w:t xml:space="preserve"> </w:t>
      </w:r>
      <w:r>
        <w:t xml:space="preserve">= 35).</w:t>
      </w:r>
    </w:p>
    <w:bookmarkEnd w:id="34"/>
    <w:bookmarkStart w:id="35" w:name="maximum-sample-size"/>
    <w:p>
      <w:pPr>
        <w:pStyle w:val="Heading4"/>
      </w:pPr>
      <w:r>
        <w:t xml:space="preserve">Maximum Sample Size</w:t>
      </w:r>
    </w:p>
    <w:p>
      <w:pPr>
        <w:pStyle w:val="FirstParagraph"/>
      </w:pPr>
      <w:r>
        <w:t xml:space="preserve">While there are many considerations for maximum sample size (time, effort, resources), if we consider a higher value just for estimation sake, we could use</w:t>
      </w:r>
      <w:r>
        <w:t xml:space="preserve"> </w:t>
      </w:r>
      <w:r>
        <w:rPr>
          <w:iCs/>
          <w:i/>
        </w:rPr>
        <w:t xml:space="preserve">n</w:t>
      </w:r>
      <w:r>
        <w:t xml:space="preserve"> </w:t>
      </w:r>
      <w:r>
        <w:t xml:space="preserve">= 38 at nearly 100%.</w:t>
      </w:r>
    </w:p>
    <w:bookmarkEnd w:id="35"/>
    <w:bookmarkStart w:id="36"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these values may be influenced by the pictures/word split in the study.</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177/1747021819879416" TargetMode="External" /><Relationship Type="http://schemas.openxmlformats.org/officeDocument/2006/relationships/hyperlink" Id="rId24" Target="https://osf.io/2byt9/"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77/1747021819879416" TargetMode="External" /><Relationship Type="http://schemas.openxmlformats.org/officeDocument/2006/relationships/hyperlink" Id="rId24" Target="https://osf.io/2byt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Overconfidence for picture cues in foreign language learning</dc:title>
  <dc:creator>Jason Geller</dc:creator>
  <cp:keywords/>
  <dcterms:created xsi:type="dcterms:W3CDTF">2023-03-28T20:28:24Z</dcterms:created>
  <dcterms:modified xsi:type="dcterms:W3CDTF">2023-03-28T20:28:24Z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