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processing</w:t>
      </w:r>
      <w:r>
        <w:t xml:space="preserve"> </w:t>
      </w:r>
      <w:r>
        <w:t xml:space="preserve">usefulness</w:t>
      </w:r>
    </w:p>
    <w:p>
      <w:pPr>
        <w:pStyle w:val="Author"/>
      </w:pPr>
      <w:r>
        <w:t xml:space="preserve">Necdet</w:t>
      </w:r>
      <w:r>
        <w:t xml:space="preserve"> </w:t>
      </w:r>
      <w:r>
        <w:t xml:space="preserve">Gürkan</w:t>
      </w:r>
      <w:r>
        <w:t xml:space="preserve"> </w:t>
      </w:r>
      <w:r>
        <w:t xml:space="preserve">&amp;</w:t>
      </w:r>
      <w:r>
        <w:t xml:space="preserve"> </w:t>
      </w:r>
      <w:r>
        <w:t xml:space="preserve">Yangyang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2023-09-18</w:t>
      </w:r>
    </w:p>
    <w:bookmarkStart w:id="20" w:name="vignette-setup"/>
    <w:p>
      <w:pPr>
        <w:pStyle w:val="Heading3"/>
      </w:pPr>
      <w:r>
        <w:t xml:space="preserve">Vignette Setup:</w:t>
      </w:r>
    </w:p>
    <w:bookmarkEnd w:id="20"/>
    <w:bookmarkStart w:id="21" w:name="projectdata-title"/>
    <w:p>
      <w:pPr>
        <w:pStyle w:val="Heading3"/>
      </w:pPr>
      <w:r>
        <w:t xml:space="preserve">Project/Data Title:</w:t>
      </w:r>
    </w:p>
    <w:p>
      <w:pPr>
        <w:pStyle w:val="FirstParagraph"/>
      </w:pPr>
      <w:r>
        <w:t xml:space="preserve">The survival processing effect</w:t>
      </w:r>
    </w:p>
    <w:p>
      <w:pPr>
        <w:pStyle w:val="BodyText"/>
      </w:pPr>
      <w:r>
        <w:t xml:space="preserve">Data provided by: Röer, Bell &amp; Buchner (2013)</w:t>
      </w:r>
    </w:p>
    <w:bookmarkEnd w:id="21"/>
    <w:bookmarkStart w:id="22" w:name="projectdata-description"/>
    <w:p>
      <w:pPr>
        <w:pStyle w:val="Heading3"/>
      </w:pPr>
      <w:r>
        <w:t xml:space="preserve">Project/Data Description:</w:t>
      </w:r>
    </w:p>
    <w:p>
      <w:pPr>
        <w:pStyle w:val="FirstParagraph"/>
      </w:pPr>
      <w:r>
        <w:t xml:space="preserve">The data come from a conceptual replication study on the survival processing effect. The survival processing effect refers to the finding that rating words according to their relevance in a survival-related scenario leads to better retention than processing words in a number of other fictional scenarios. Participants were randomly assigned to one of the rating scenarios (survival, afterlife, moving). The to-be-rated words were presented individually in a random order on the computer screen. Each word remained on the screen for five seconds. Participants rated the words by clicking on a 5-point scale that ranged from completely useless (1) to very useful (5), which was displayed right below the word.</w:t>
      </w:r>
    </w:p>
    <w:bookmarkEnd w:id="22"/>
    <w:bookmarkStart w:id="23" w:name="methods-description"/>
    <w:p>
      <w:pPr>
        <w:pStyle w:val="Heading3"/>
      </w:pPr>
      <w:r>
        <w:t xml:space="preserve">Methods Description:</w:t>
      </w:r>
    </w:p>
    <w:p>
      <w:pPr>
        <w:pStyle w:val="FirstParagraph"/>
      </w:pPr>
      <w:r>
        <w:t xml:space="preserve">Participants were students at Heinrich Heine University Düsseldorf, Germany that were paid for participating or received course credit. Their ages ranged from 18 to 55 years. The words to-be-rated consisted of 30 typical members of 30 categories drawn from the updated Battig and Montague norms (Van Overschelde, Rawson, &amp; Dunlosky, 2004).</w:t>
      </w:r>
    </w:p>
    <w:bookmarkEnd w:id="23"/>
    <w:bookmarkStart w:id="24" w:name="data-location"/>
    <w:p>
      <w:pPr>
        <w:pStyle w:val="Heading3"/>
      </w:pPr>
      <w:r>
        <w:t xml:space="preserve">Data Location:</w:t>
      </w:r>
    </w:p>
    <w:p>
      <w:pPr>
        <w:pStyle w:val="FirstParagraph"/>
      </w:pPr>
      <w:r>
        <w:t xml:space="preserve">Data included within this vignette. We drop the scenario column because the standard deviation and mean of item ratings across the scenarios were identical. We also add a participant column to keep this script similar to other ones.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"roer_data.xlsx"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drops)]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, DF)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218 obs. of  31 variables:</w:t>
      </w:r>
      <w:r>
        <w:br/>
      </w:r>
      <w:r>
        <w:rPr>
          <w:rStyle w:val="VerbatimChar"/>
        </w:rPr>
        <w:t xml:space="preserve">##  $ Participant_Number: int  1 2 3 4 5 6 7 8 9 10 ...</w:t>
      </w:r>
      <w:r>
        <w:br/>
      </w:r>
      <w:r>
        <w:rPr>
          <w:rStyle w:val="VerbatimChar"/>
        </w:rPr>
        <w:t xml:space="preserve">##  $ Item_1            : num  1 3 3 2 3 3 3 1 4 1 ...</w:t>
      </w:r>
      <w:r>
        <w:br/>
      </w:r>
      <w:r>
        <w:rPr>
          <w:rStyle w:val="VerbatimChar"/>
        </w:rPr>
        <w:t xml:space="preserve">##  $ Item_2            : num  2 5 4 1 4 5 4 3 5 3 ...</w:t>
      </w:r>
      <w:r>
        <w:br/>
      </w:r>
      <w:r>
        <w:rPr>
          <w:rStyle w:val="VerbatimChar"/>
        </w:rPr>
        <w:t xml:space="preserve">##  $ Item_3            : num  5 3 1 5 2 2 5 2 3 4 ...</w:t>
      </w:r>
      <w:r>
        <w:br/>
      </w:r>
      <w:r>
        <w:rPr>
          <w:rStyle w:val="VerbatimChar"/>
        </w:rPr>
        <w:t xml:space="preserve">##  $ Item_4            : num  1 4 2 0 3 2 2 1 4 2 ...</w:t>
      </w:r>
      <w:r>
        <w:br/>
      </w:r>
      <w:r>
        <w:rPr>
          <w:rStyle w:val="VerbatimChar"/>
        </w:rPr>
        <w:t xml:space="preserve">##  $ Item_5            : num  3 5 1 5 1 3 5 2 0 4 ...</w:t>
      </w:r>
      <w:r>
        <w:br/>
      </w:r>
      <w:r>
        <w:rPr>
          <w:rStyle w:val="VerbatimChar"/>
        </w:rPr>
        <w:t xml:space="preserve">##  $ Item_6            : num  1 3 2 1 4 1 5 2 2 1 ...</w:t>
      </w:r>
      <w:r>
        <w:br/>
      </w:r>
      <w:r>
        <w:rPr>
          <w:rStyle w:val="VerbatimChar"/>
        </w:rPr>
        <w:t xml:space="preserve">##  $ Item_7            : num  4 2 4 1 4 4 4 1 5 3 ...</w:t>
      </w:r>
      <w:r>
        <w:br/>
      </w:r>
      <w:r>
        <w:rPr>
          <w:rStyle w:val="VerbatimChar"/>
        </w:rPr>
        <w:t xml:space="preserve">##  $ Item_8            : num  3 5 5 4 4 2 5 5 2 3 ...</w:t>
      </w:r>
      <w:r>
        <w:br/>
      </w:r>
      <w:r>
        <w:rPr>
          <w:rStyle w:val="VerbatimChar"/>
        </w:rPr>
        <w:t xml:space="preserve">##  $ Item_9            : num  1 5 4 5 4 2 4 1 3 3 ...</w:t>
      </w:r>
      <w:r>
        <w:br/>
      </w:r>
      <w:r>
        <w:rPr>
          <w:rStyle w:val="VerbatimChar"/>
        </w:rPr>
        <w:t xml:space="preserve">##  $ Item_10           : num  0 5 5 5 0 5 5 4 0 4 ...</w:t>
      </w:r>
      <w:r>
        <w:br/>
      </w:r>
      <w:r>
        <w:rPr>
          <w:rStyle w:val="VerbatimChar"/>
        </w:rPr>
        <w:t xml:space="preserve">##  $ Item_11           : num  3 5 4 5 3 1 5 5 2 1 ...</w:t>
      </w:r>
      <w:r>
        <w:br/>
      </w:r>
      <w:r>
        <w:rPr>
          <w:rStyle w:val="VerbatimChar"/>
        </w:rPr>
        <w:t xml:space="preserve">##  $ Item_12           : num  3 5 5 5 5 1 3 5 1 1 ...</w:t>
      </w:r>
      <w:r>
        <w:br/>
      </w:r>
      <w:r>
        <w:rPr>
          <w:rStyle w:val="VerbatimChar"/>
        </w:rPr>
        <w:t xml:space="preserve">##  $ Item_13           : num  1 1 3 1 2 1 1 4 1 1 ...</w:t>
      </w:r>
      <w:r>
        <w:br/>
      </w:r>
      <w:r>
        <w:rPr>
          <w:rStyle w:val="VerbatimChar"/>
        </w:rPr>
        <w:t xml:space="preserve">##  $ Item_14           : num  1 2 1 4 1 2 2 1 2 5 ...</w:t>
      </w:r>
      <w:r>
        <w:br/>
      </w:r>
      <w:r>
        <w:rPr>
          <w:rStyle w:val="VerbatimChar"/>
        </w:rPr>
        <w:t xml:space="preserve">##  $ Item_15           : num  1 4 2 1 5 1 3 2 2 1 ...</w:t>
      </w:r>
      <w:r>
        <w:br/>
      </w:r>
      <w:r>
        <w:rPr>
          <w:rStyle w:val="VerbatimChar"/>
        </w:rPr>
        <w:t xml:space="preserve">##  $ Item_16           : num  4 5 4 2 3 3 4 3 3 4 ...</w:t>
      </w:r>
      <w:r>
        <w:br/>
      </w:r>
      <w:r>
        <w:rPr>
          <w:rStyle w:val="VerbatimChar"/>
        </w:rPr>
        <w:t xml:space="preserve">##  $ Item_17           : num  3 5 0 1 3 1 4 3 3 3 ...</w:t>
      </w:r>
      <w:r>
        <w:br/>
      </w:r>
      <w:r>
        <w:rPr>
          <w:rStyle w:val="VerbatimChar"/>
        </w:rPr>
        <w:t xml:space="preserve">##  $ Item_18           : num  2 5 4 1 5 5 5 2 5 4 ...</w:t>
      </w:r>
      <w:r>
        <w:br/>
      </w:r>
      <w:r>
        <w:rPr>
          <w:rStyle w:val="VerbatimChar"/>
        </w:rPr>
        <w:t xml:space="preserve">##  $ Item_19           : num  2 1 1 4 1 3 4 2 4 3 ...</w:t>
      </w:r>
      <w:r>
        <w:br/>
      </w:r>
      <w:r>
        <w:rPr>
          <w:rStyle w:val="VerbatimChar"/>
        </w:rPr>
        <w:t xml:space="preserve">##  $ Item_20           : num  5 3 4 5 2 4 5 3 3 2 ...</w:t>
      </w:r>
      <w:r>
        <w:br/>
      </w:r>
      <w:r>
        <w:rPr>
          <w:rStyle w:val="VerbatimChar"/>
        </w:rPr>
        <w:t xml:space="preserve">##  $ Item_21           : num  3 0 4 5 3 4 1 1 4 2 ...</w:t>
      </w:r>
      <w:r>
        <w:br/>
      </w:r>
      <w:r>
        <w:rPr>
          <w:rStyle w:val="VerbatimChar"/>
        </w:rPr>
        <w:t xml:space="preserve">##  $ Item_22           : num  3 5 1 1 2 3 5 4 3 4 ...</w:t>
      </w:r>
      <w:r>
        <w:br/>
      </w:r>
      <w:r>
        <w:rPr>
          <w:rStyle w:val="VerbatimChar"/>
        </w:rPr>
        <w:t xml:space="preserve">##  $ Item_23           : num  1 1 2 1 1 4 3 1 5 2 ...</w:t>
      </w:r>
      <w:r>
        <w:br/>
      </w:r>
      <w:r>
        <w:rPr>
          <w:rStyle w:val="VerbatimChar"/>
        </w:rPr>
        <w:t xml:space="preserve">##  $ Item_24           : num  1 4 4 2 3 2 4 5 2 0 ...</w:t>
      </w:r>
      <w:r>
        <w:br/>
      </w:r>
      <w:r>
        <w:rPr>
          <w:rStyle w:val="VerbatimChar"/>
        </w:rPr>
        <w:t xml:space="preserve">##  $ Item_25           : num  2 5 5 3 5 1 5 4 3 4 ...</w:t>
      </w:r>
      <w:r>
        <w:br/>
      </w:r>
      <w:r>
        <w:rPr>
          <w:rStyle w:val="VerbatimChar"/>
        </w:rPr>
        <w:t xml:space="preserve">##  $ Item_26           : num  1 4 3 1 3 1 2 1 2 3 ...</w:t>
      </w:r>
      <w:r>
        <w:br/>
      </w:r>
      <w:r>
        <w:rPr>
          <w:rStyle w:val="VerbatimChar"/>
        </w:rPr>
        <w:t xml:space="preserve">##  $ Item_27           : num  1 5 1 1 5 2 4 4 3 4 ...</w:t>
      </w:r>
      <w:r>
        <w:br/>
      </w:r>
      <w:r>
        <w:rPr>
          <w:rStyle w:val="VerbatimChar"/>
        </w:rPr>
        <w:t xml:space="preserve">##  $ Item_28           : num  1 5 1 1 4 2 3 5 2 3 ...</w:t>
      </w:r>
      <w:r>
        <w:br/>
      </w:r>
      <w:r>
        <w:rPr>
          <w:rStyle w:val="VerbatimChar"/>
        </w:rPr>
        <w:t xml:space="preserve">##  $ Item_29           : num  1 5 2 3 2 1 4 3 1 3 ...</w:t>
      </w:r>
      <w:r>
        <w:br/>
      </w:r>
      <w:r>
        <w:rPr>
          <w:rStyle w:val="VerbatimChar"/>
        </w:rPr>
        <w:t xml:space="preserve">##  $ Item_30           : num  3 5 4 1 1 2 5 4 4 5 ...</w:t>
      </w:r>
    </w:p>
    <w:bookmarkEnd w:id="24"/>
    <w:bookmarkStart w:id="25" w:name="date-published"/>
    <w:p>
      <w:pPr>
        <w:pStyle w:val="Heading3"/>
      </w:pPr>
      <w:r>
        <w:t xml:space="preserve">Date Published:</w:t>
      </w:r>
    </w:p>
    <w:p>
      <w:pPr>
        <w:pStyle w:val="FirstParagraph"/>
      </w:pPr>
      <w:r>
        <w:t xml:space="preserve">No official publication, see citation below.</w:t>
      </w:r>
    </w:p>
    <w:bookmarkEnd w:id="25"/>
    <w:bookmarkStart w:id="26" w:name="dataset-citation"/>
    <w:p>
      <w:pPr>
        <w:pStyle w:val="Heading3"/>
      </w:pPr>
      <w:r>
        <w:t xml:space="preserve">Dataset Citation:</w:t>
      </w:r>
    </w:p>
    <w:p>
      <w:pPr>
        <w:pStyle w:val="FirstParagraph"/>
      </w:pPr>
      <w:r>
        <w:t xml:space="preserve">Röer, J. P., Bell, R., &amp; Buchner, A. (2013). Is the survival-processing memory advantage due to richness of encoding? Journal of Experimental Psychology: Learning, Memory, and Cognition, 39, 1294-1302.</w:t>
      </w:r>
    </w:p>
    <w:bookmarkEnd w:id="26"/>
    <w:bookmarkStart w:id="27" w:name="keywords"/>
    <w:p>
      <w:pPr>
        <w:pStyle w:val="Heading3"/>
      </w:pPr>
      <w:r>
        <w:t xml:space="preserve">Keywords:</w:t>
      </w:r>
    </w:p>
    <w:p>
      <w:pPr>
        <w:pStyle w:val="FirstParagraph"/>
      </w:pPr>
      <w:r>
        <w:t xml:space="preserve">usefulness; survival processing; adaptive memory; richness of encoding</w:t>
      </w:r>
    </w:p>
    <w:bookmarkEnd w:id="27"/>
    <w:bookmarkStart w:id="28" w:name="use-license"/>
    <w:p>
      <w:pPr>
        <w:pStyle w:val="Heading3"/>
      </w:pPr>
      <w:r>
        <w:t xml:space="preserve">Use License:</w:t>
      </w:r>
    </w:p>
    <w:p>
      <w:pPr>
        <w:pStyle w:val="FirstParagraph"/>
      </w:pPr>
      <w:r>
        <w:t xml:space="preserve">CC BY-NC</w:t>
      </w:r>
    </w:p>
    <w:bookmarkEnd w:id="28"/>
    <w:bookmarkStart w:id="29" w:name="X8bbdf330e29fa3263c5621e09333b4c6193daa1"/>
    <w:p>
      <w:pPr>
        <w:pStyle w:val="Heading3"/>
      </w:pPr>
      <w:r>
        <w:t xml:space="preserve">Geographic Description - City/State/Country of Participants:</w:t>
      </w:r>
    </w:p>
    <w:p>
      <w:pPr>
        <w:pStyle w:val="FirstParagraph"/>
      </w:pPr>
      <w:r>
        <w:t xml:space="preserve">Düsseldorf, Germany</w:t>
      </w:r>
    </w:p>
    <w:bookmarkEnd w:id="29"/>
    <w:bookmarkStart w:id="30" w:name="column-metadata"/>
    <w:p>
      <w:pPr>
        <w:pStyle w:val="Heading3"/>
      </w:pPr>
      <w:r>
        <w:t xml:space="preserve">Column Metadata: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"roer_metadata.xlsx"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(metadata)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66"/>
        <w:gridCol w:w="3688"/>
        <w:gridCol w:w="4152"/>
      </w:tblGrid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(numeric, character, logical, etc.)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ratings for item_1 to item_30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62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scenarios- 1,2,3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</w:tbl>
    <w:bookmarkEnd w:id="30"/>
    <w:bookmarkStart w:id="35" w:name="aipe-analysis"/>
    <w:p>
      <w:pPr>
        <w:pStyle w:val="Heading3"/>
      </w:pPr>
      <w:r>
        <w:t xml:space="preserve">AIPE Analysis:</w:t>
      </w:r>
    </w:p>
    <w:p>
      <w:pPr>
        <w:pStyle w:val="SourceCode"/>
      </w:pP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(Participant_Number))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(DF_long))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5"/>
        <w:gridCol w:w="1083"/>
        <w:gridCol w:w="94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Participant_Number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31" w:name="stopping-rule"/>
    <w:p>
      <w:pPr>
        <w:pStyle w:val="Heading4"/>
      </w:pPr>
      <w:r>
        <w:t xml:space="preserve">Stopping Rule</w:t>
      </w:r>
    </w:p>
    <w:p>
      <w:pPr>
        <w:pStyle w:val="FirstParagraph"/>
      </w:pPr>
      <w:r>
        <w:t xml:space="preserve">What is the usual standard error for the data that could be considered for our stopping rule using the 40% decile?</w:t>
      </w:r>
    </w:p>
    <w:p>
      <w:pPr>
        <w:pStyle w:val="SourceCode"/>
      </w:pPr>
      <w:r>
        <w:rPr>
          <w:rStyle w:val="CommentTok"/>
        </w:rPr>
        <w:t xml:space="preserve"># individual SEs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})</w:t>
      </w:r>
      <w:r>
        <w:br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    Item_1    Item_10    Item_11    Item_12    Item_13    Item_14    Item_15 </w:t>
      </w:r>
      <w:r>
        <w:br/>
      </w:r>
      <w:r>
        <w:rPr>
          <w:rStyle w:val="VerbatimChar"/>
        </w:rPr>
        <w:t xml:space="preserve">## 0.08860091 0.09743922 0.10419876 0.10725788 0.07167329 0.11502337 0.09746261 </w:t>
      </w:r>
      <w:r>
        <w:br/>
      </w:r>
      <w:r>
        <w:rPr>
          <w:rStyle w:val="VerbatimChar"/>
        </w:rPr>
        <w:t xml:space="preserve">##    Item_16    Item_17    Item_18    Item_19     Item_2    Item_20    Item_21 </w:t>
      </w:r>
      <w:r>
        <w:br/>
      </w:r>
      <w:r>
        <w:rPr>
          <w:rStyle w:val="VerbatimChar"/>
        </w:rPr>
        <w:t xml:space="preserve">## 0.09425595 0.08981453 0.08968434 0.09817041 0.10421504 0.10768420 0.10195369 </w:t>
      </w:r>
      <w:r>
        <w:br/>
      </w:r>
      <w:r>
        <w:rPr>
          <w:rStyle w:val="VerbatimChar"/>
        </w:rPr>
        <w:t xml:space="preserve">##    Item_22    Item_23    Item_24    Item_25    Item_26    Item_27    Item_28 </w:t>
      </w:r>
      <w:r>
        <w:br/>
      </w:r>
      <w:r>
        <w:rPr>
          <w:rStyle w:val="VerbatimChar"/>
        </w:rPr>
        <w:t xml:space="preserve">## 0.09891678 0.11403914 0.08751293 0.10279479 0.08015419 0.09612067 0.09697587 </w:t>
      </w:r>
      <w:r>
        <w:br/>
      </w:r>
      <w:r>
        <w:rPr>
          <w:rStyle w:val="VerbatimChar"/>
        </w:rPr>
        <w:t xml:space="preserve">##    Item_29     Item_3    Item_30     Item_4     Item_5     Item_6     Item_7 </w:t>
      </w:r>
      <w:r>
        <w:br/>
      </w:r>
      <w:r>
        <w:rPr>
          <w:rStyle w:val="VerbatimChar"/>
        </w:rPr>
        <w:t xml:space="preserve">## 0.08758437 0.10963101 0.11319421 0.07944272 0.11514133 0.08852481 0.10163361 </w:t>
      </w:r>
      <w:r>
        <w:br/>
      </w:r>
      <w:r>
        <w:rPr>
          <w:rStyle w:val="VerbatimChar"/>
        </w:rPr>
        <w:t xml:space="preserve">##     Item_8     Item_9 </w:t>
      </w:r>
      <w:r>
        <w:br/>
      </w:r>
      <w:r>
        <w:rPr>
          <w:rStyle w:val="VerbatimChar"/>
        </w:rPr>
        <w:t xml:space="preserve">## 0.09615698 0.09118122</w:t>
      </w:r>
    </w:p>
    <w:p>
      <w:pPr>
        <w:pStyle w:val="SourceCode"/>
      </w:pP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cutoff</w:t>
      </w:r>
    </w:p>
    <w:p>
      <w:pPr>
        <w:pStyle w:val="SourceCode"/>
      </w:pPr>
      <w:r>
        <w:rPr>
          <w:rStyle w:val="VerbatimChar"/>
        </w:rPr>
        <w:t xml:space="preserve">##        40% </w:t>
      </w:r>
      <w:r>
        <w:br/>
      </w:r>
      <w:r>
        <w:rPr>
          <w:rStyle w:val="VerbatimChar"/>
        </w:rPr>
        <w:t xml:space="preserve">## 0.09614246</w:t>
      </w:r>
    </w:p>
    <w:p>
      <w:pPr>
        <w:pStyle w:val="SourceCode"/>
      </w:pPr>
      <w:r>
        <w:rPr>
          <w:rStyle w:val="CommentTok"/>
        </w:rPr>
        <w:t xml:space="preserve"># we could also use the cutoff score function in semanticprimeR</w:t>
      </w:r>
      <w:r>
        <w:br/>
      </w:r>
      <w:r>
        <w:rPr>
          <w:rStyle w:val="NormalTok"/>
        </w:rPr>
        <w:t xml:space="preserve">cutoff_score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calculate_cutoff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DF_long,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grouping_items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score))</w:t>
      </w:r>
      <w:r>
        <w:br/>
      </w:r>
      <w:r>
        <w:br/>
      </w:r>
      <w:r>
        <w:rPr>
          <w:rStyle w:val="NormalTok"/>
        </w:rPr>
        <w:t xml:space="preserve">cutoff_score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cutoff</w:t>
      </w:r>
    </w:p>
    <w:p>
      <w:pPr>
        <w:pStyle w:val="SourceCode"/>
      </w:pPr>
      <w:r>
        <w:rPr>
          <w:rStyle w:val="VerbatimChar"/>
        </w:rPr>
        <w:t xml:space="preserve">##        40% </w:t>
      </w:r>
      <w:r>
        <w:br/>
      </w:r>
      <w:r>
        <w:rPr>
          <w:rStyle w:val="VerbatimChar"/>
        </w:rPr>
        <w:t xml:space="preserve">## 0.09614246</w:t>
      </w:r>
    </w:p>
    <w:p>
      <w:pPr>
        <w:pStyle w:val="FirstParagraph"/>
      </w:pPr>
      <w:r>
        <w:t xml:space="preserve">Using our 40% decile as a guide, we find that 0.096 is our target standard error for an accurately measured item.</w:t>
      </w:r>
    </w:p>
    <w:bookmarkEnd w:id="31"/>
    <w:bookmarkStart w:id="32" w:name="minimum-sample-size"/>
    <w:p>
      <w:pPr>
        <w:pStyle w:val="Heading4"/>
      </w:pPr>
      <w:r>
        <w:t xml:space="preserve">Minimum Sample Size</w:t>
      </w:r>
    </w:p>
    <w:p>
      <w:pPr>
        <w:pStyle w:val="FirstParagraph"/>
      </w:pPr>
      <w:r>
        <w:t xml:space="preserve">To estimate the minimum sample size, we should figure out what number of participants it would take to achieve 80%, 85%, 90%, and 95% of the SEs for items below our critical score of 0.096.</w:t>
      </w:r>
    </w:p>
    <w:p>
      <w:pPr>
        <w:pStyle w:val="SourceCode"/>
      </w:pPr>
      <w:r>
        <w:rPr>
          <w:rStyle w:val="CommentTok"/>
        </w:rPr>
        <w:t xml:space="preserve"># sequence of sample sizes to try</w:t>
      </w:r>
      <w:r>
        <w:br/>
      </w:r>
      <w:r>
        <w:rPr>
          <w:rStyle w:val="NormalTok"/>
        </w:rPr>
        <w:t xml:space="preserve">samplesize_values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blank table for us to save the values in </w:t>
      </w:r>
      <w:r>
        <w:br/>
      </w:r>
      <w:r>
        <w:rPr>
          <w:rStyle w:val="NormalTok"/>
        </w:rPr>
        <w:t xml:space="preserve">sim_table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(samplesize_values),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item)))</w:t>
      </w:r>
      <w:r>
        <w:br/>
      </w:r>
      <w:r>
        <w:br/>
      </w:r>
      <w:r>
        <w:rPr>
          <w:rStyle w:val="CommentTok"/>
        </w:rPr>
        <w:t xml:space="preserve"># make it a data frame</w:t>
      </w:r>
      <w:r>
        <w:br/>
      </w:r>
      <w:r>
        <w:rPr>
          <w:rStyle w:val="NormalTok"/>
        </w:rPr>
        <w:t xml:space="preserve">sim_table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(sim_table)</w:t>
      </w:r>
      <w:r>
        <w:br/>
      </w:r>
      <w:r>
        <w:br/>
      </w:r>
      <w:r>
        <w:rPr>
          <w:rStyle w:val="CommentTok"/>
        </w:rPr>
        <w:t xml:space="preserve"># add a place for sample size values </w:t>
      </w:r>
      <w:r>
        <w:br/>
      </w:r>
      <w:r>
        <w:rPr>
          <w:rStyle w:val="NormalTok"/>
        </w:rPr>
        <w:t xml:space="preserve">sim_table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 over sample sizes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(samplesize_values)){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temp dataframe that samples and summarizes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(item)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(samplesize_values[i],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(score)))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(sim_table)[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</w:t>
      </w:r>
      <w:r>
        <w:br/>
      </w:r>
      <w:r>
        <w:rPr>
          <w:rStyle w:val="NormalTok"/>
        </w:rPr>
        <w:t xml:space="preserve">  sim_table[i,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sim_table[i, 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samplesize_values[i]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final_sample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sim_table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(sample_size))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percent_below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cutoff)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(final_sample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            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3"/>
        <w:gridCol w:w="1842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sample_size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percent_below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final_table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calculate_correction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proportion_summary =</w:t>
      </w:r>
      <w:r>
        <w:rPr>
          <w:rStyle w:val="NormalTok"/>
        </w:rPr>
        <w:t xml:space="preserve"> final_sample,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pilot_sample_size =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(item)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(sample_size))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(avg_sample),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proportion_variability =</w:t>
      </w:r>
      <w:r>
        <w:rPr>
          <w:rStyle w:val="NormalTok"/>
        </w:rPr>
        <w:t xml:space="preserve"> cutoff_score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prop_var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(final_table)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633"/>
        <w:gridCol w:w="2673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percent_below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sample_size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corrected_sample_size</w:t>
            </w:r>
          </w:p>
        </w:tc>
      </w:tr>
      <w:tr>
        <w:trPr>
          <w:trHeight w:val="57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57.63787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70.05916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70.05916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96.66667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80.50262</w:t>
            </w:r>
          </w:p>
        </w:tc>
      </w:tr>
    </w:tbl>
    <w:p>
      <w:pPr>
        <w:pStyle w:val="FirstParagraph"/>
      </w:pPr>
      <w:r>
        <w:t xml:space="preserve">Based on these simulations, we can decide our minimum sample size is likely close to 58.</w:t>
      </w:r>
    </w:p>
    <w:bookmarkEnd w:id="32"/>
    <w:bookmarkStart w:id="33" w:name="maximum-sample-size"/>
    <w:p>
      <w:pPr>
        <w:pStyle w:val="Heading4"/>
      </w:pPr>
      <w:r>
        <w:t xml:space="preserve">Maximum Sample Size</w:t>
      </w:r>
    </w:p>
    <w:p>
      <w:pPr>
        <w:pStyle w:val="FirstParagraph"/>
      </w:pPr>
      <w:r>
        <w:t xml:space="preserve">In this example, we could set our maximum sample size for 90% of items, which would equate to 70 participants.</w:t>
      </w:r>
    </w:p>
    <w:bookmarkEnd w:id="33"/>
    <w:bookmarkStart w:id="34" w:name="final-sample-size"/>
    <w:p>
      <w:pPr>
        <w:pStyle w:val="Heading4"/>
      </w:pPr>
      <w:r>
        <w:t xml:space="preserve">Final Sample Size</w:t>
      </w:r>
    </w:p>
    <w:p>
      <w:pPr>
        <w:pStyle w:val="FirstParagraph"/>
      </w:pPr>
      <w:r>
        <w:t xml:space="preserve">We should consider any data loss or other issues related to survival processing when thinking about the final sample size requirements.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processing usefulness</dc:title>
  <dc:creator>Necdet Gürkan &amp; Yangyang Yu</dc:creator>
  <cp:keywords/>
  <dcterms:created xsi:type="dcterms:W3CDTF">2023-09-18T20:50:57Z</dcterms:created>
  <dcterms:modified xsi:type="dcterms:W3CDTF">2023-09-18T20:50:57Z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2023-09-18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