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80"/>
      </w:pPr>
      <w:r>
        <w:rPr>
          <w:rFonts w:ascii="Arial" w:cs="Arial" w:eastAsia="Arial" w:hAnsi="Arial"/>
          <w:b/>
          <w:bCs/>
          <w:color w:val="2E75B6"/>
          <w:spacing w:val="120"/>
          <w:sz w:val="20"/>
          <w:szCs w:val="20"/>
        </w:rPr>
        <w:t xml:space="preserve">TECHNICAL REPORT  •  v4.0</w:t>
      </w:r>
    </w:p>
    <w:p>
      <w:pPr>
        <w:pBdr>
          <w:bottom w:val="single" w:color="2E75B6" w:sz="8" w:space="4"/>
        </w:pBdr>
        <w:spacing w:after="300"/>
      </w:pPr>
      <w:r>
        <w:rPr>
          <w:rFonts w:ascii="Arial" w:cs="Arial" w:eastAsia="Arial" w:hAnsi="Arial"/>
          <w:b/>
          <w:bCs/>
          <w:color w:val="1A1A2E"/>
          <w:sz w:val="48"/>
          <w:szCs w:val="48"/>
        </w:rPr>
        <w:t xml:space="preserve">The Pitfalls and Necessity of
Verifying AI Artifacts with AI</w:t>
      </w:r>
    </w:p>
    <w:p>
      <w:pPr>
        <w:spacing w:after="200"/>
      </w:pPr>
      <w:r>
        <w:rPr>
          <w:rFonts w:ascii="Arial" w:cs="Arial" w:eastAsia="Arial" w:hAnsi="Arial"/>
          <w:color w:val="666666"/>
          <w:sz w:val="28"/>
          <w:szCs w:val="28"/>
        </w:rPr>
        <w:t xml:space="preserve">Correlated Errors, Cross-Model Validation,
and the Architecture of Machine Confidence</w:t>
      </w:r>
    </w:p>
    <w:p>
      <w:pPr>
        <w:spacing w:after="4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Author</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Dusty Wilhelm Murray</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Organisation</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Sigmantics AB</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Date</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31 March 2026</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Version</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4.0</w:t>
            </w:r>
          </w:p>
        </w:tc>
      </w:tr>
      <w:tr>
        <w:tc>
          <w:tcPr>
            <w:tcW w:type="dxa" w:w="2500"/>
            <w:tcBorders>
              <w:top w:val="none" w:sz="0"/>
              <w:left w:val="none" w:sz="0"/>
              <w:bottom w:val="none" w:sz="0"/>
              <w:right w:val="none" w:sz="0"/>
            </w:tcBorders>
            <w:tcMar>
              <w:top w:type="dxa" w:w="40"/>
              <w:left w:type="dxa" w:w="0"/>
              <w:bottom w:type="dxa" w:w="40"/>
              <w:right w:type="dxa" w:w="120"/>
            </w:tcMar>
          </w:tcPr>
          <w:p>
            <w:r>
              <w:rPr>
                <w:rFonts w:ascii="Arial" w:cs="Arial" w:eastAsia="Arial" w:hAnsi="Arial"/>
                <w:b/>
                <w:bCs/>
                <w:color w:val="666666"/>
                <w:sz w:val="20"/>
                <w:szCs w:val="20"/>
              </w:rPr>
              <w:t xml:space="preserve">License</w:t>
            </w:r>
          </w:p>
        </w:tc>
        <w:tc>
          <w:tcPr>
            <w:tcW w:type="dxa" w:w="6526"/>
            <w:tcBorders>
              <w:top w:val="none" w:sz="0"/>
              <w:left w:val="none" w:sz="0"/>
              <w:bottom w:val="none" w:sz="0"/>
              <w:right w:val="none" w:sz="0"/>
            </w:tcBorders>
            <w:tcMar>
              <w:top w:type="dxa" w:w="40"/>
              <w:left w:type="dxa" w:w="0"/>
              <w:bottom w:type="dxa" w:w="40"/>
              <w:right w:type="dxa" w:w="0"/>
            </w:tcMar>
          </w:tcPr>
          <w:p>
            <w:r>
              <w:rPr>
                <w:rFonts w:ascii="Arial" w:cs="Arial" w:eastAsia="Arial" w:hAnsi="Arial"/>
                <w:color w:val="1A1A2E"/>
                <w:sz w:val="20"/>
                <w:szCs w:val="20"/>
              </w:rPr>
              <w:t xml:space="preserve">CC BY 4.0</w:t>
            </w:r>
          </w:p>
        </w:tc>
      </w:tr>
    </w:tbl>
    <w:p>
      <w:pPr>
        <w:spacing w:after="800"/>
      </w:pPr>
    </w:p>
    <w:p>
      <w:r>
        <w:rPr>
          <w:rFonts w:ascii="Arial" w:cs="Arial" w:eastAsia="Arial" w:hAnsi="Arial"/>
          <w:i/>
          <w:iCs/>
          <w:color w:val="666666"/>
          <w:sz w:val="22"/>
          <w:szCs w:val="22"/>
        </w:rPr>
        <w:t xml:space="preserve">The question is not whether AI can produce correct output. The question is what it costs when it doesn’t — and whether you knew before your customer did.</w:t>
      </w:r>
    </w:p>
    <w:p>
      <w:pPr>
        <w:spacing w:after="30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A note on intellectual honesty: </w:t>
            </w:r>
            <w:r>
              <w:rPr>
                <w:rFonts w:ascii="Arial" w:cs="Arial" w:eastAsia="Arial" w:hAnsi="Arial"/>
                <w:color w:val="333333"/>
                <w:sz w:val="21"/>
                <w:szCs w:val="21"/>
              </w:rPr>
              <w:t xml:space="preserve">This document was itself generated by an AI system and iteratively refined through the cross-model, tool-augmented verification process it describes. Where quantitative estimates are given without empirical citation, they are identified as heuristic. Where research supports a claim, references are provided. The development process provided a concrete, observable instance of the generation-verification asymmetry central to the paper’s argument (see Section 2.4). This paper argues that such transparency should be the minimum standard. It would be hypocritical not to apply it here.</w:t>
            </w:r>
          </w:p>
        </w:tc>
      </w:tr>
    </w:tbl>
    <w:p>
      <w:pPr>
        <w:sectPr>
          <w:headerReference w:type="default" r:id="rId7"/>
          <w:footerReference w:type="default" r:id="rId8"/>
          <w:pgSz w:w="11906" w:h="16838" w:orient="portrait"/>
          <w:pgMar w:top="1440" w:right="1440" w:bottom="1440" w:left="1440" w:header="708" w:footer="708" w:gutter="0"/>
          <w:pgNumType/>
          <w:docGrid w:linePitch="360"/>
        </w:sectPr>
      </w:pPr>
    </w:p>
    <w:p>
      <w:pPr>
        <w:pStyle w:val="Heading1"/>
      </w:pPr>
      <w:r>
        <w:t xml:space="preserve">Abstract</w:t>
      </w:r>
    </w:p>
    <w:p>
      <w:pPr>
        <w:spacing w:after="180"/>
      </w:pPr>
      <w:r>
        <w:rPr>
          <w:rFonts w:ascii="Arial" w:cs="Arial" w:eastAsia="Arial" w:hAnsi="Arial"/>
          <w:color w:val="333333"/>
          <w:sz w:val="22"/>
          <w:szCs w:val="22"/>
        </w:rPr>
        <w:t xml:space="preserve">Organisations deploying large language models (LLMs) in high-stakes workflows face a core reliability problem: AI-generated outputs can contain confident, plausible, and wrong claims that evade detection. This report examines why same-model self-verification fails to catch such errors — because the generator and verifier share training data, reinforcement biases, and architectural blind spots, producing correlated rather than independent failures. Drawing on recent empirical work showing that error correlation persists and even increases across frontier model families (Kim et al. 2025), the report proposes a hybrid verification architecture that decomposes AI outputs into typed claims (factual, mathematical, logical, structural, groundedness) and routes each claim to the most appropriate validator: deterministic tools for facts and arithmetic, cross-model LLM review for structure and logic, and human escalation for ungrounded claims. A weighted confidence scoring function, an expected-value stopping condition, and an immutable provenance chain provide the mechanisms for risk-tiered decision-making and regulatory compliance under the EU AI Act and DORA. The report further argues that smaller, non-frontier models offer verification value precisely because their failure modes are less correlated with frontier generators, and that targeted retrieval-augmented generation can address groundedness gaps without introducing noise. The report’s own development — including the detection and correction of a fabricated citation through the proposed pipeline — serves as a worked demonstration of the architecture.</w:t>
      </w:r>
    </w:p>
    <w:p>
      <w:pPr>
        <w:spacing w:after="40"/>
      </w:pPr>
    </w:p>
    <w:p>
      <w:pPr>
        <w:spacing w:after="180"/>
      </w:pPr>
      <w:r>
        <w:rPr>
          <w:rFonts w:ascii="Arial" w:cs="Arial" w:eastAsia="Arial" w:hAnsi="Arial"/>
          <w:b/>
          <w:bCs/>
          <w:color w:val="1A1A2E"/>
          <w:sz w:val="22"/>
          <w:szCs w:val="22"/>
        </w:rPr>
        <w:t xml:space="preserve">Keywords: </w:t>
      </w:r>
      <w:r>
        <w:rPr>
          <w:rFonts w:ascii="Arial" w:cs="Arial" w:eastAsia="Arial" w:hAnsi="Arial"/>
          <w:color w:val="333333"/>
          <w:sz w:val="22"/>
          <w:szCs w:val="22"/>
        </w:rPr>
        <w:t xml:space="preserve">LLM verification, correlated errors, hallucination mitigation, cross-model validation, AI reliability, provenance, groundedness, decompose-route-score, EU AI Act, DORA</w:t>
      </w:r>
    </w:p>
    <w:p>
      <w:pPr>
        <w:spacing w:after="200"/>
      </w:pPr>
    </w:p>
    <w:p>
      <w:pPr>
        <w:pStyle w:val="Heading1"/>
      </w:pPr>
      <w:r>
        <w:t xml:space="preserve">1. The Correlated Error Problem</w:t>
      </w:r>
    </w:p>
    <w:p>
      <w:pPr>
        <w:spacing w:after="180"/>
      </w:pPr>
      <w:r>
        <w:rPr>
          <w:rFonts w:ascii="Arial" w:cs="Arial" w:eastAsia="Arial" w:hAnsi="Arial"/>
          <w:color w:val="333333"/>
          <w:sz w:val="22"/>
          <w:szCs w:val="22"/>
        </w:rPr>
        <w:t xml:space="preserve">When a language model produces an output and the same model is asked to verify it, the resulting confidence gain is far smaller than intuition suggests. The naive calculation assumes error independence: if each check has a 4% failure rate, two independent checks should yield a combined failure rate of 0.16% (1 − 0.04²). This assumption is wrong.</w:t>
      </w:r>
    </w:p>
    <w:p>
      <w:pPr>
        <w:spacing w:after="180"/>
      </w:pPr>
      <w:r>
        <w:rPr>
          <w:rFonts w:ascii="Arial" w:cs="Arial" w:eastAsia="Arial" w:hAnsi="Arial"/>
          <w:color w:val="333333"/>
          <w:sz w:val="22"/>
          <w:szCs w:val="22"/>
        </w:rPr>
        <w:t xml:space="preserve">Same-model verification produces correlated errors. The verifier shares the training data, the reinforcement learning biases, and the architectural blind spots of the generator. When the generator hallucinates a plausible-sounding regulatory reference, the verifier — drawing on the same priors — is likely to confirm it. Recent empirical work supports this: Huang et al. (2024) demonstrate that LLMs struggle to self-correct reasoning without external feedback, and that self-verification often reinforces rather than catches errors because models favour outputs resembling their own reasoning patterns [1]. The result is not 99.84% confidence. It is closer to 97–98%, and the remaining errors are precisely the ones that matter: confident, plausible, and wrong.</w:t>
      </w:r>
    </w:p>
    <w:p>
      <w:pPr>
        <w:spacing w:after="180"/>
      </w:pPr>
      <w:r>
        <w:rPr>
          <w:rFonts w:ascii="Arial" w:cs="Arial" w:eastAsia="Arial" w:hAnsi="Arial"/>
          <w:color w:val="1A1A2E"/>
          <w:sz w:val="22"/>
          <w:szCs w:val="22"/>
        </w:rPr>
        <w:t xml:space="preserve">This is the fundamental problem that any AI verification architecture must solve: </w:t>
      </w:r>
      <w:r>
        <w:rPr>
          <w:rFonts w:ascii="Arial" w:cs="Arial" w:eastAsia="Arial" w:hAnsi="Arial"/>
          <w:b/>
          <w:bCs/>
          <w:color w:val="1A1A2E"/>
          <w:sz w:val="22"/>
          <w:szCs w:val="22"/>
        </w:rPr>
        <w:t xml:space="preserve">how do you reduce error correlation between the system that generates and the system that checks?</w:t>
      </w:r>
    </w:p>
    <w:p>
      <w:pPr>
        <w:pStyle w:val="Heading1"/>
      </w:pPr>
      <w:r>
        <w:t xml:space="preserve">2. Cross-Model Validation</w:t>
      </w:r>
    </w:p>
    <w:p>
      <w:pPr>
        <w:spacing w:after="180"/>
      </w:pPr>
      <w:r>
        <w:rPr>
          <w:rFonts w:ascii="Arial" w:cs="Arial" w:eastAsia="Arial" w:hAnsi="Arial"/>
          <w:color w:val="333333"/>
          <w:sz w:val="22"/>
          <w:szCs w:val="22"/>
        </w:rPr>
        <w:t xml:space="preserve">The most direct way to reduce error correlation is to use a different model for verification. A document generated by Claude and validated by GPT-4, with disagreements arbitrated by Gemini, introduces genuine diversity of failure modes. Different training corpora, different RLHF procedures, and different architectural choices mean that the errors each model makes are substantially less correlated.</w:t>
      </w:r>
    </w:p>
    <w:p>
      <w:pPr>
        <w:spacing w:after="180"/>
      </w:pPr>
      <w:r>
        <w:rPr>
          <w:rFonts w:ascii="Arial" w:cs="Arial" w:eastAsia="Arial" w:hAnsi="Arial"/>
          <w:color w:val="333333"/>
          <w:sz w:val="22"/>
          <w:szCs w:val="22"/>
        </w:rPr>
        <w:t xml:space="preserve">However, cross-model validation requires more than a binary “does this look right?” check. Effective validation operates on decomposed, typed claims. A structured verification protocol decomposes each output into atomic assertions and routes each assertion to the most appropriate validator. This decompose-then-verify pattern is well-established: Min et al. (2023) show that breaking complex claims into atomic sub-claims before fact-checking substantially outperforms holistic verification [2].</w:t>
      </w:r>
    </w:p>
    <w:p>
      <w:pPr>
        <w:pStyle w:val="Heading2"/>
      </w:pPr>
      <w:r>
        <w:t xml:space="preserve">2.1 Claim Taxonomy</w:t>
      </w:r>
    </w:p>
    <w:p>
      <w:pPr>
        <w:spacing w:after="180"/>
      </w:pPr>
      <w:r>
        <w:rPr>
          <w:rFonts w:ascii="Arial" w:cs="Arial" w:eastAsia="Arial" w:hAnsi="Arial"/>
          <w:color w:val="333333"/>
          <w:sz w:val="22"/>
          <w:szCs w:val="22"/>
        </w:rPr>
        <w:t xml:space="preserve">Not all claims in an AI output are equal, and not all validators are equally effective against each type: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 Type</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Best Validator</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LLM Effectiveness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Automation Potential</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Factual claims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Web search / DB lookup</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 (same hallucination risk)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Mathematical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Code execution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 (arithmetic weak)</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Very 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Logical consistency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Cross-model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Structural quality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LLM-as-judge (cross-model)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Groundedness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Source trace / human 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Very Low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w:t>
            </w:r>
          </w:p>
        </w:tc>
      </w:tr>
    </w:tbl>
    <w:p>
      <w:pPr>
        <w:spacing w:after="120"/>
      </w:pPr>
    </w:p>
    <w:p>
      <w:pPr>
        <w:spacing w:after="180"/>
      </w:pPr>
      <w:r>
        <w:rPr>
          <w:rFonts w:ascii="Arial" w:cs="Arial" w:eastAsia="Arial" w:hAnsi="Arial"/>
          <w:color w:val="333333"/>
          <w:sz w:val="22"/>
          <w:szCs w:val="22"/>
        </w:rPr>
        <w:t xml:space="preserve">The critical insight is that groundedness — the question of whether a number, date, or fact was drawn from real source data or fabricated from statistical priors — is the category where AI validation is weakest. No model can reliably distinguish between a number it retrieved and a number it invented, because the retrieval and the invention draw on the same mechanism.</w:t>
      </w:r>
    </w:p>
    <w:p>
      <w:pPr>
        <w:pStyle w:val="Heading2"/>
      </w:pPr>
      <w:r>
        <w:t xml:space="preserve">2.2 The Convergence Risk</w:t>
      </w:r>
    </w:p>
    <w:p>
      <w:pPr>
        <w:spacing w:after="180"/>
      </w:pPr>
      <w:r>
        <w:rPr>
          <w:rFonts w:ascii="Arial" w:cs="Arial" w:eastAsia="Arial" w:hAnsi="Arial"/>
          <w:color w:val="333333"/>
          <w:sz w:val="22"/>
          <w:szCs w:val="22"/>
        </w:rPr>
        <w:t xml:space="preserve">A significant caveat: cross-model diversity may weaken over time. Frontier models increasingly share training data (large-scale internet scrapes), similar scaling recipes, overlapping safety tuning approaches, and in some cases synthetic data generated by other frontier models. Kim et al. (2025), in a large-scale empirical study of over 350 LLMs, find that models agree on the wrong answer roughly 60% of the time when both err — and crucially, that larger and more accurate models exhibit highly correlated errors even across distinct architectures and providers [3]. This correlation increases with model capability, which means the frontier models most likely to be used in verification pipelines are also the most likely to share failure modes. A complementary study by Denisov-Blanch et al. (2026) demonstrates that these correlated errors impose a structural ceiling on crowd-wisdom and consensus-based verification strategies: using multiple models does not overcome the problem when the errors are not independent [9].</w:t>
      </w:r>
    </w:p>
    <w:p>
      <w:pPr>
        <w:spacing w:after="180"/>
      </w:pPr>
      <w:r>
        <w:rPr>
          <w:rFonts w:ascii="Arial" w:cs="Arial" w:eastAsia="Arial" w:hAnsi="Arial"/>
          <w:color w:val="333333"/>
          <w:sz w:val="22"/>
          <w:szCs w:val="22"/>
        </w:rPr>
        <w:t xml:space="preserve">This means a Claude → GPT-4 → Gemini validation pipeline, while effective in 2026, is best treated as a current-state architecture rather than a permanent one. The verification system benefits from being designed for validator substitution as model families evolve. More importantly, the most effective verification pipelines in this design are hybrid: LLM cross-checks for structural and logical claims, deterministic tools (code execution, web search, database lookup) for factual and mathematical claims, and human escalation for groundedness. In our analysis, pure cross-LLM verification represents a weaker form of the architecture; hybrid verification represents the stronger form.</w:t>
      </w:r>
    </w:p>
    <w:p>
      <w:pPr>
        <w:pStyle w:val="Heading2"/>
      </w:pPr>
      <w:r>
        <w:t xml:space="preserve">2.3 The Enduring Value of Less Powerful Models</w:t>
      </w:r>
    </w:p>
    <w:p>
      <w:pPr>
        <w:spacing w:after="180"/>
      </w:pPr>
      <w:r>
        <w:rPr>
          <w:rFonts w:ascii="Arial" w:cs="Arial" w:eastAsia="Arial" w:hAnsi="Arial"/>
          <w:color w:val="333333"/>
          <w:sz w:val="22"/>
          <w:szCs w:val="22"/>
        </w:rPr>
        <w:t xml:space="preserve">A counterintuitive implication of the Kim et al. (2025) findings is that less powerful models may be more valuable as validators than frontier models. If error correlation increases with model capability — because larger models converge on similar reasoning patterns, similar training distributions, and similar failure modes — then deliberately including smaller, open-weight models in a verification pipeline can provide diversity that frontier-to-frontier cross-checking cannot.</w:t>
      </w:r>
    </w:p>
    <w:p>
      <w:pPr>
        <w:spacing w:after="180"/>
      </w:pPr>
      <w:r>
        <w:rPr>
          <w:rFonts w:ascii="Arial" w:cs="Arial" w:eastAsia="Arial" w:hAnsi="Arial"/>
          <w:color w:val="333333"/>
          <w:sz w:val="22"/>
          <w:szCs w:val="22"/>
        </w:rPr>
        <w:t xml:space="preserve">A 7B-parameter open-weight model trained on a different data mix will make different errors than Claude or GPT-4. It will miss things they catch, but it will also catch things they both miss, precisely because its failure surface is less correlated with theirs. The goal of a validator is not to be smarter than the generator. The goal is to fail differently. A weaker model that fails independently is more valuable for verification than a stronger model that fails in correlated ways.</w:t>
      </w:r>
    </w:p>
    <w:p>
      <w:pPr>
        <w:spacing w:after="180"/>
      </w:pPr>
      <w:r>
        <w:rPr>
          <w:rFonts w:ascii="Arial" w:cs="Arial" w:eastAsia="Arial" w:hAnsi="Arial"/>
          <w:color w:val="333333"/>
          <w:sz w:val="22"/>
          <w:szCs w:val="22"/>
        </w:rPr>
        <w:t xml:space="preserve">This has practical implications for pipeline design. Rather than routing all validation through frontier models (expensive and correlated), an effective architecture might use a smaller model as a first-pass diversity check, a frontier cross-model for structural and logical claims, and deterministic tools for factual and mathematical claims. The smaller model is not the primary validator — it is an error-correlation circuit breaker.</w:t>
      </w:r>
    </w:p>
    <w:p>
      <w:pPr>
        <w:pStyle w:val="Heading2"/>
      </w:pPr>
      <w:r>
        <w:t xml:space="preserve">2.4 A Real-World Demonstration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Meta-illustration: </w:t>
            </w:r>
            <w:r>
              <w:rPr>
                <w:rFonts w:ascii="Arial" w:cs="Arial" w:eastAsia="Arial" w:hAnsi="Arial"/>
                <w:color w:val="333333"/>
                <w:sz w:val="21"/>
                <w:szCs w:val="21"/>
              </w:rPr>
              <w:t xml:space="preserve">The development of this whitepaper provides a concrete example of the generation-verification asymmetry. Version 1.0 contained a fabricated citation — “Jiang et al. (2024), On the Diversity of LLM Errors” — that did not exist. The generating model produced it confidently; the claim it supported (cross-model error correlation) was real, but the attribution was confabulated. A same-model self-review did not catch it because the citation was plausible by design.</w:t>
            </w:r>
          </w:p>
          <w:p>
            <w:pPr>
              <w:spacing w:after="60"/>
            </w:pPr>
            <w:r>
              <w:rPr>
                <w:rFonts w:ascii="Arial" w:cs="Arial" w:eastAsia="Arial" w:hAnsi="Arial"/>
                <w:color w:val="333333"/>
                <w:sz w:val="21"/>
                <w:szCs w:val="21"/>
              </w:rPr>
              <w:t xml:space="preserve">A cross-model reviewer with web search access flagged the citation immediately. The verifier did not invent a matching fabrication — it identified the absence of the paper and found real papers (Kim et al. 2025, Denisov-Blanch et al. 2026) that supported the same claim with stronger evidence. This asymmetry between generation (which readily fabricates plausible details) and verification (which reliably detects the absence of evidence) is precisely the property that makes cross-model, tool-augmented verification valuable.</w:t>
            </w:r>
          </w:p>
          <w:p>
            <w:pPr>
              <w:spacing w:after="60"/>
            </w:pPr>
            <w:r>
              <w:rPr>
                <w:rFonts w:ascii="Arial" w:cs="Arial" w:eastAsia="Arial" w:hAnsi="Arial"/>
                <w:color w:val="333333"/>
                <w:sz w:val="21"/>
                <w:szCs w:val="21"/>
              </w:rPr>
              <w:t xml:space="preserve">This episode validates the decompose-route-score architecture: the factual claim (citation exists) was routable to a deterministic validator (web search); the structural claim (section argument is sound) could be confirmed by cross-model review; and the groundedness claim (is this figure sourced?) was correctly escalated to human review. Process evidence, not truth evidence — but the process worked.</w:t>
            </w:r>
          </w:p>
        </w:tc>
      </w:tr>
    </w:tbl>
    <w:p>
      <w:pPr>
        <w:pStyle w:val="Heading1"/>
      </w:pPr>
      <w:r>
        <w:t xml:space="preserve">3. How Confidence Scales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C05730" w:sz="1"/>
              <w:left w:val="single" w:color="C05730" w:sz="12"/>
              <w:bottom w:val="single" w:color="C05730" w:sz="1"/>
              <w:right w:val="single" w:color="C05730" w:sz="1"/>
            </w:tcBorders>
            <w:shd w:fill="FFF3EE" w:val="clear"/>
            <w:tcMar>
              <w:top w:type="dxa" w:w="120"/>
              <w:left w:type="dxa" w:w="200"/>
              <w:bottom w:type="dxa" w:w="120"/>
              <w:right w:type="dxa" w:w="200"/>
            </w:tcMar>
          </w:tcPr>
          <w:p>
            <w:pPr>
              <w:spacing w:after="60"/>
            </w:pPr>
            <w:r>
              <w:rPr>
                <w:rFonts w:ascii="Arial" w:cs="Arial" w:eastAsia="Arial" w:hAnsi="Arial"/>
                <w:b/>
                <w:bCs/>
                <w:color w:val="C05730"/>
                <w:sz w:val="21"/>
                <w:szCs w:val="21"/>
              </w:rPr>
              <w:t xml:space="preserve">Methodological note: </w:t>
            </w:r>
            <w:r>
              <w:rPr>
                <w:rFonts w:ascii="Arial" w:cs="Arial" w:eastAsia="Arial" w:hAnsi="Arial"/>
                <w:color w:val="333333"/>
                <w:sz w:val="21"/>
                <w:szCs w:val="21"/>
              </w:rPr>
              <w:t xml:space="preserve">The uncertainty reduction percentages in the table below are heuristic estimates derived from observed patterns in iterative refinement research, not measured values from controlled experiments. They are presented as a reasoning framework, not as empirical claims. Actual values will vary significantly by task domain, model family, and claim complexity. Empirical calibration against benchmarks such as FEVER, HOVER, or domain-specific hallucination suites is a prerequisite before using these figures in production.</w:t>
            </w:r>
          </w:p>
        </w:tc>
      </w:tr>
    </w:tbl>
    <w:p>
      <w:pPr>
        <w:spacing w:after="80"/>
      </w:pPr>
    </w:p>
    <w:p>
      <w:pPr>
        <w:spacing w:after="180"/>
      </w:pPr>
      <w:r>
        <w:rPr>
          <w:rFonts w:ascii="Arial" w:cs="Arial" w:eastAsia="Arial" w:hAnsi="Arial"/>
          <w:color w:val="333333"/>
          <w:sz w:val="22"/>
          <w:szCs w:val="22"/>
        </w:rPr>
        <w:t xml:space="preserve">Each additional validation pass yields diminishing returns. The relationship follows a decay curve on uncertainty, not a linear improvement. Research on test-time compute and iterative refinement consistently shows that early verification passes capture most value, while later iterations risk introducing stylistic churn or, in some cases, new errors [4]:</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Validation Pass</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 Uncertainty Reduction</w:t>
            </w:r>
          </w:p>
        </w:tc>
        <w:tc>
          <w:tcPr>
            <w:tcW w:type="dxa" w:w="234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Cumulative Confidence</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1</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Same model self-review</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~30–50%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Low-Medium</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2</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Cross-model validation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~20–40% further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Medium-High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3</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Third model or specialist tool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~10–20% further (heuristic)</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High</w:t>
            </w:r>
          </w:p>
        </w:tc>
      </w:tr>
      <w:tr>
        <w:tc>
          <w:tcPr>
            <w:tcW w:type="dxa" w:w="234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Pass 4+</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Additional iterations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&lt;10% each, risk of degradation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Diminishing returns</w:t>
            </w:r>
          </w:p>
        </w:tc>
      </w:tr>
    </w:tbl>
    <w:p>
      <w:pPr>
        <w:spacing w:after="120"/>
      </w:pPr>
    </w:p>
    <w:p>
      <w:pPr>
        <w:pStyle w:val="Heading2"/>
      </w:pPr>
      <w:r>
        <w:t xml:space="preserve">3.1 The Validate-Fix-Revalidate Cycle</w:t>
      </w:r>
    </w:p>
    <w:p>
      <w:pPr>
        <w:spacing w:after="180"/>
      </w:pPr>
      <w:r>
        <w:rPr>
          <w:rFonts w:ascii="Arial" w:cs="Arial" w:eastAsia="Arial" w:hAnsi="Arial"/>
          <w:color w:val="333333"/>
          <w:sz w:val="22"/>
          <w:szCs w:val="22"/>
        </w:rPr>
        <w:t xml:space="preserve">Iterative refinement — where a validator flags errors, a fixer corrects them, and a revalidator checks the corrections — follows a similar decay pattern. The first fix-and-recheck cycle captures high-value corrections: factual errors, arithmetic mistakes, structural problems. The second cycle catches subtler issues. By the third iteration, most changes are stylistic churn rather than genuine error correction.</w:t>
      </w:r>
    </w:p>
    <w:p>
      <w:pPr>
        <w:spacing w:after="180"/>
      </w:pPr>
      <w:r>
        <w:rPr>
          <w:rFonts w:ascii="Arial" w:cs="Arial" w:eastAsia="Arial" w:hAnsi="Arial"/>
          <w:color w:val="333333"/>
          <w:sz w:val="22"/>
          <w:szCs w:val="22"/>
        </w:rPr>
        <w:t xml:space="preserve">An important caveat from the self-refinement literature: iterative correction can degrade outputs on tasks where the initial generation was already strong. Madaan et al. (2023) found that self-refine loops help most on hard tasks but can introduce new errors on easier ones [5]. This means the verification system benefits from distinguishing between high-uncertainty outputs (where iteration adds value) and high-confidence outputs (where additional passes may subtract value). A fixed “always run three passes” policy is inferior to an adaptive one.</w:t>
      </w:r>
    </w:p>
    <w:p>
      <w:pPr>
        <w:pStyle w:val="Heading2"/>
      </w:pPr>
      <w:r>
        <w:t xml:space="preserve">3.2 The Confidence Budget</w:t>
      </w:r>
    </w:p>
    <w:p>
      <w:pPr>
        <w:spacing w:after="180"/>
      </w:pPr>
      <w:r>
        <w:rPr>
          <w:rFonts w:ascii="Arial" w:cs="Arial" w:eastAsia="Arial" w:hAnsi="Arial"/>
          <w:color w:val="333333"/>
          <w:sz w:val="22"/>
          <w:szCs w:val="22"/>
        </w:rPr>
        <w:t xml:space="preserve">An orchestration system should maintain a per-output confidence budget that tracks cumulative verification investment against remaining uncertainty. This budget determines when further validation is economically justified and when the output should be released or escalated to human review.</w:t>
      </w:r>
    </w:p>
    <w:p>
      <w:pPr>
        <w:spacing w:after="40"/>
      </w:pPr>
    </w:p>
    <w:p>
      <w:pPr>
        <w:pStyle w:val="Heading3"/>
      </w:pPr>
      <w:r>
        <w:t xml:space="preserve">3.2.1 Scoring Function</w:t>
      </w:r>
    </w:p>
    <w:p>
      <w:pPr>
        <w:spacing w:after="180"/>
      </w:pPr>
      <w:r>
        <w:rPr>
          <w:rFonts w:ascii="Arial" w:cs="Arial" w:eastAsia="Arial" w:hAnsi="Arial"/>
          <w:color w:val="333333"/>
          <w:sz w:val="22"/>
          <w:szCs w:val="22"/>
        </w:rPr>
        <w:t xml:space="preserve">The aggregate confidence score for a document is a weighted sum over its decomposed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i/>
                <w:iCs/>
                <w:color w:val="333333"/>
                <w:sz w:val="21"/>
                <w:szCs w:val="21"/>
              </w:rPr>
              <w:t xml:space="preserve">C</w:t>
            </w:r>
            <w:r>
              <w:rPr>
                <w:rFonts w:ascii="Arial" w:cs="Arial" w:eastAsia="Arial" w:hAnsi="Arial"/>
                <w:color w:val="333333"/>
                <w:sz w:val="21"/>
                <w:szCs w:val="21"/>
              </w:rPr>
              <w:t xml:space="preserve">(doc) = Σ </w:t>
            </w:r>
            <w:r>
              <w:rPr>
                <w:rFonts w:ascii="Arial" w:cs="Arial" w:eastAsia="Arial" w:hAnsi="Arial"/>
                <w:i/>
                <w:iCs/>
                <w:color w:val="333333"/>
                <w:sz w:val="21"/>
                <w:szCs w:val="21"/>
              </w:rPr>
              <w:t xml:space="preserve">w</w:t>
            </w:r>
            <w:r>
              <w:rPr>
                <w:rFonts w:ascii="Arial" w:cs="Arial" w:eastAsia="Arial" w:hAnsi="Arial"/>
                <w:color w:val="333333"/>
                <w:sz w:val="21"/>
                <w:szCs w:val="21"/>
              </w:rPr>
              <w:t xml:space="preserve">ᵢ × </w:t>
            </w:r>
            <w:r>
              <w:rPr>
                <w:rFonts w:ascii="Arial" w:cs="Arial" w:eastAsia="Arial" w:hAnsi="Arial"/>
                <w:i/>
                <w:iCs/>
                <w:color w:val="333333"/>
                <w:sz w:val="21"/>
                <w:szCs w:val="21"/>
              </w:rPr>
              <w:t xml:space="preserve">c</w:t>
            </w:r>
            <w:r>
              <w:rPr>
                <w:rFonts w:ascii="Arial" w:cs="Arial" w:eastAsia="Arial" w:hAnsi="Arial"/>
                <w:color w:val="333333"/>
                <w:sz w:val="18"/>
                <w:szCs w:val="18"/>
              </w:rPr>
              <w:t xml:space="preserve">ᵢ</w:t>
            </w:r>
            <w:r>
              <w:rPr>
                <w:rFonts w:ascii="Arial" w:cs="Arial" w:eastAsia="Arial" w:hAnsi="Arial"/>
                <w:color w:val="333333"/>
                <w:sz w:val="21"/>
                <w:szCs w:val="21"/>
              </w:rPr>
              <w:t xml:space="preserve">   /   Σ </w:t>
            </w:r>
            <w:r>
              <w:rPr>
                <w:rFonts w:ascii="Arial" w:cs="Arial" w:eastAsia="Arial" w:hAnsi="Arial"/>
                <w:i/>
                <w:iCs/>
                <w:color w:val="333333"/>
                <w:sz w:val="21"/>
                <w:szCs w:val="21"/>
              </w:rPr>
              <w:t xml:space="preserve">w</w:t>
            </w:r>
            <w:r>
              <w:rPr>
                <w:rFonts w:ascii="Arial" w:cs="Arial" w:eastAsia="Arial" w:hAnsi="Arial"/>
                <w:color w:val="333333"/>
                <w:sz w:val="21"/>
                <w:szCs w:val="21"/>
              </w:rPr>
              <w:t xml:space="preserve">ᵢ</w:t>
            </w:r>
          </w:p>
          <w:p>
            <w:pPr>
              <w:spacing w:after="60"/>
            </w:pPr>
            <w:r>
              <w:rPr>
                <w:rFonts w:ascii="Arial" w:cs="Arial" w:eastAsia="Arial" w:hAnsi="Arial"/>
                <w:color w:val="333333"/>
                <w:sz w:val="21"/>
                <w:szCs w:val="21"/>
              </w:rPr>
              <w:t xml:space="preserve">Where:</w:t>
            </w:r>
          </w:p>
          <w:p>
            <w:pPr>
              <w:spacing w:after="60"/>
            </w:pPr>
            <w:r>
              <w:rPr>
                <w:rFonts w:ascii="Arial" w:cs="Arial" w:eastAsia="Arial" w:hAnsi="Arial"/>
                <w:i/>
                <w:iCs/>
                <w:color w:val="333333"/>
                <w:sz w:val="21"/>
                <w:szCs w:val="21"/>
              </w:rPr>
              <w:t xml:space="preserve">  cᵢ</w:t>
            </w:r>
            <w:r>
              <w:rPr>
                <w:rFonts w:ascii="Arial" w:cs="Arial" w:eastAsia="Arial" w:hAnsi="Arial"/>
                <w:color w:val="333333"/>
                <w:sz w:val="21"/>
                <w:szCs w:val="21"/>
              </w:rPr>
              <w:t xml:space="preserve"> = confidence score for claim i (0.0 – 1.0)</w:t>
            </w:r>
          </w:p>
          <w:p>
            <w:pPr>
              <w:spacing w:after="60"/>
            </w:pPr>
            <w:r>
              <w:rPr>
                <w:rFonts w:ascii="Arial" w:cs="Arial" w:eastAsia="Arial" w:hAnsi="Arial"/>
                <w:i/>
                <w:iCs/>
                <w:color w:val="333333"/>
                <w:sz w:val="21"/>
                <w:szCs w:val="21"/>
              </w:rPr>
              <w:t xml:space="preserve">  wᵢ</w:t>
            </w:r>
            <w:r>
              <w:rPr>
                <w:rFonts w:ascii="Arial" w:cs="Arial" w:eastAsia="Arial" w:hAnsi="Arial"/>
                <w:color w:val="333333"/>
                <w:sz w:val="21"/>
                <w:szCs w:val="21"/>
              </w:rPr>
              <w:t xml:space="preserve"> = risk weight for claim i, determined by claim type and domain context</w:t>
            </w:r>
          </w:p>
        </w:tc>
      </w:tr>
    </w:tbl>
    <w:p>
      <w:pPr>
        <w:spacing w:after="80"/>
      </w:pPr>
    </w:p>
    <w:p>
      <w:pPr>
        <w:spacing w:after="180"/>
      </w:pPr>
      <w:r>
        <w:rPr>
          <w:rFonts w:ascii="Arial" w:cs="Arial" w:eastAsia="Arial" w:hAnsi="Arial"/>
          <w:color w:val="333333"/>
          <w:sz w:val="22"/>
          <w:szCs w:val="22"/>
        </w:rPr>
        <w:t xml:space="preserve">Risk weights are assigned by claim type and adjusted for domain context. A factual claim about a regulatory article in a compliance document might carry w = 3.0, while a structural claim about paragraph ordering in an internal memo might carry w = 0.5. The weighting schema should be configurable per deployment.</w:t>
      </w:r>
    </w:p>
    <w:p>
      <w:pPr>
        <w:spacing w:after="40"/>
      </w:pPr>
    </w:p>
    <w:p>
      <w:pPr>
        <w:pStyle w:val="Heading3"/>
      </w:pPr>
      <w:r>
        <w:t xml:space="preserve">3.2.2 Stopping Condition</w:t>
      </w:r>
    </w:p>
    <w:p>
      <w:pPr>
        <w:spacing w:after="180"/>
      </w:pPr>
      <w:r>
        <w:rPr>
          <w:rFonts w:ascii="Arial" w:cs="Arial" w:eastAsia="Arial" w:hAnsi="Arial"/>
          <w:color w:val="333333"/>
          <w:sz w:val="22"/>
          <w:szCs w:val="22"/>
        </w:rPr>
        <w:t xml:space="preserve">The decision to run an additional validation pass is an expected-value calculation:</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D5E8F0" w:val="clear"/>
            <w:tcMar>
              <w:top w:type="dxa" w:w="120"/>
              <w:left w:type="dxa" w:w="200"/>
              <w:bottom w:type="dxa" w:w="120"/>
              <w:right w:type="dxa" w:w="200"/>
            </w:tcMar>
          </w:tcPr>
          <w:p>
            <w:pPr>
              <w:spacing w:after="60"/>
            </w:pPr>
            <w:r>
              <w:rPr>
                <w:rFonts w:ascii="Arial" w:cs="Arial" w:eastAsia="Arial" w:hAnsi="Arial"/>
                <w:b/>
                <w:bCs/>
                <w:color w:val="333333"/>
                <w:sz w:val="21"/>
                <w:szCs w:val="21"/>
              </w:rPr>
              <w:t xml:space="preserve">Continue if: </w:t>
            </w:r>
            <w:r>
              <w:rPr>
                <w:rFonts w:ascii="Arial" w:cs="Arial" w:eastAsia="Arial" w:hAnsi="Arial"/>
                <w:color w:val="333333"/>
                <w:sz w:val="21"/>
                <w:szCs w:val="21"/>
              </w:rPr>
              <w:t xml:space="preserve">E[cost_avoided] × P(error_caught) &gt; cost_of_pass</w:t>
            </w:r>
          </w:p>
          <w:p>
            <w:pPr>
              <w:spacing w:after="60"/>
            </w:pPr>
            <w:r>
              <w:rPr>
                <w:rFonts w:ascii="Arial" w:cs="Arial" w:eastAsia="Arial" w:hAnsi="Arial"/>
                <w:color w:val="333333"/>
                <w:sz w:val="21"/>
                <w:szCs w:val="21"/>
              </w:rPr>
              <w:t xml:space="preserve">Where E[cost_avoided] is the expected downstream cost of an undetected error (remediation, regulatory, reputational), P(error_caught) is the estimated probability of the next pass catching a remaining error, and cost_of_pass is the API/compute cost of running the validator.</w:t>
            </w:r>
          </w:p>
        </w:tc>
      </w:tr>
    </w:tbl>
    <w:p>
      <w:pPr>
        <w:spacing w:after="80"/>
      </w:pPr>
    </w:p>
    <w:p>
      <w:pPr>
        <w:spacing w:after="180"/>
      </w:pPr>
      <w:r>
        <w:rPr>
          <w:rFonts w:ascii="Arial" w:cs="Arial" w:eastAsia="Arial" w:hAnsi="Arial"/>
          <w:color w:val="333333"/>
          <w:sz w:val="22"/>
          <w:szCs w:val="22"/>
        </w:rPr>
        <w:t xml:space="preserve">When the expected marginal value drops below the cost of the pass, the system either releases the output with its confidence score attached or escalates to human review if the score falls below the risk tier’s threshold.</w:t>
      </w:r>
    </w:p>
    <w:p>
      <w:pPr>
        <w:pStyle w:val="Heading1"/>
      </w:pPr>
      <w:r>
        <w:t xml:space="preserve">4. Verification Pipeline Architecture</w:t>
      </w:r>
    </w:p>
    <w:p>
      <w:pPr>
        <w:spacing w:after="180"/>
      </w:pPr>
      <w:r>
        <w:rPr>
          <w:rFonts w:ascii="Arial" w:cs="Arial" w:eastAsia="Arial" w:hAnsi="Arial"/>
          <w:color w:val="333333"/>
          <w:sz w:val="22"/>
          <w:szCs w:val="22"/>
        </w:rPr>
        <w:t xml:space="preserve">Combining these principles produces a five-stage verification pipeline:</w:t>
      </w:r>
    </w:p>
    <w:p>
      <w:pPr>
        <w:spacing w:after="40"/>
      </w:pPr>
    </w:p>
    <w:p>
      <w:pPr>
        <w:pStyle w:val="ListParagraph"/>
        <w:numPr>
          <w:ilvl w:val="0"/>
          <w:numId w:val="2"/>
        </w:numPr>
        <w:spacing w:after="100"/>
      </w:pPr>
      <w:r>
        <w:rPr>
          <w:rFonts w:ascii="Arial" w:cs="Arial" w:eastAsia="Arial" w:hAnsi="Arial"/>
          <w:b/>
          <w:bCs/>
          <w:color w:val="333333"/>
          <w:sz w:val="22"/>
          <w:szCs w:val="22"/>
        </w:rPr>
        <w:t xml:space="preserve">Decompose. </w:t>
      </w:r>
      <w:r>
        <w:rPr>
          <w:rFonts w:ascii="Arial" w:cs="Arial" w:eastAsia="Arial" w:hAnsi="Arial"/>
          <w:color w:val="333333"/>
          <w:sz w:val="22"/>
          <w:szCs w:val="22"/>
        </w:rPr>
        <w:t xml:space="preserve">Parse the AI output into typed claims: factual assertions, mathematical calculations, logical inferences, structural/rhetorical elements, and groundedness claims (those requiring source data). This follows the atomic claim decomposition approach demonstrated in FActScore and related work [2, 6].</w:t>
      </w:r>
    </w:p>
    <w:p>
      <w:pPr>
        <w:pStyle w:val="ListParagraph"/>
        <w:numPr>
          <w:ilvl w:val="0"/>
          <w:numId w:val="2"/>
        </w:numPr>
        <w:spacing w:after="100"/>
      </w:pPr>
      <w:r>
        <w:rPr>
          <w:rFonts w:ascii="Arial" w:cs="Arial" w:eastAsia="Arial" w:hAnsi="Arial"/>
          <w:b/>
          <w:bCs/>
          <w:color w:val="333333"/>
          <w:sz w:val="22"/>
          <w:szCs w:val="22"/>
        </w:rPr>
        <w:t xml:space="preserve">Route. </w:t>
      </w:r>
      <w:r>
        <w:rPr>
          <w:rFonts w:ascii="Arial" w:cs="Arial" w:eastAsia="Arial" w:hAnsi="Arial"/>
          <w:color w:val="333333"/>
          <w:sz w:val="22"/>
          <w:szCs w:val="22"/>
        </w:rPr>
        <w:t xml:space="preserve">Send each claim type to the appropriate validator. Factual claims go to web search or database lookup. Mathematical claims go to code execution. Logical and structural claims go to cross-model LLM review. Groundedness claims follow the escalation protocol defined in Section 4.3.</w:t>
      </w:r>
    </w:p>
    <w:p>
      <w:pPr>
        <w:pStyle w:val="ListParagraph"/>
        <w:numPr>
          <w:ilvl w:val="0"/>
          <w:numId w:val="2"/>
        </w:numPr>
        <w:spacing w:after="100"/>
      </w:pPr>
      <w:r>
        <w:rPr>
          <w:rFonts w:ascii="Arial" w:cs="Arial" w:eastAsia="Arial" w:hAnsi="Arial"/>
          <w:b/>
          <w:bCs/>
          <w:color w:val="333333"/>
          <w:sz w:val="22"/>
          <w:szCs w:val="22"/>
        </w:rPr>
        <w:t xml:space="preserve">Score. </w:t>
      </w:r>
      <w:r>
        <w:rPr>
          <w:rFonts w:ascii="Arial" w:cs="Arial" w:eastAsia="Arial" w:hAnsi="Arial"/>
          <w:color w:val="333333"/>
          <w:sz w:val="22"/>
          <w:szCs w:val="22"/>
        </w:rPr>
        <w:t xml:space="preserve">Attach a confidence score to each claim using the weighted formula from Section 3.2.1, and compute an aggregate document confidence.</w:t>
      </w:r>
    </w:p>
    <w:p>
      <w:pPr>
        <w:pStyle w:val="ListParagraph"/>
        <w:numPr>
          <w:ilvl w:val="0"/>
          <w:numId w:val="2"/>
        </w:numPr>
        <w:spacing w:after="100"/>
      </w:pPr>
      <w:r>
        <w:rPr>
          <w:rFonts w:ascii="Arial" w:cs="Arial" w:eastAsia="Arial" w:hAnsi="Arial"/>
          <w:b/>
          <w:bCs/>
          <w:color w:val="333333"/>
          <w:sz w:val="22"/>
          <w:szCs w:val="22"/>
        </w:rPr>
        <w:t xml:space="preserve">Decide. </w:t>
      </w:r>
      <w:r>
        <w:rPr>
          <w:rFonts w:ascii="Arial" w:cs="Arial" w:eastAsia="Arial" w:hAnsi="Arial"/>
          <w:color w:val="333333"/>
          <w:sz w:val="22"/>
          <w:szCs w:val="22"/>
        </w:rPr>
        <w:t xml:space="preserve">Compare aggregate confidence against the output’s risk tier. Low-risk outputs (internal drafts, exploratory analysis) may ship at 85% confidence. High-risk outputs (regulatory filings, client-facing documents) require 95%+ or mandatory human escalation.</w:t>
      </w:r>
    </w:p>
    <w:p>
      <w:pPr>
        <w:pStyle w:val="ListParagraph"/>
        <w:numPr>
          <w:ilvl w:val="0"/>
          <w:numId w:val="2"/>
        </w:numPr>
        <w:spacing w:after="100"/>
      </w:pPr>
      <w:r>
        <w:rPr>
          <w:rFonts w:ascii="Arial" w:cs="Arial" w:eastAsia="Arial" w:hAnsi="Arial"/>
          <w:b/>
          <w:bCs/>
          <w:color w:val="333333"/>
          <w:sz w:val="22"/>
          <w:szCs w:val="22"/>
        </w:rPr>
        <w:t xml:space="preserve">Record. </w:t>
      </w:r>
      <w:r>
        <w:rPr>
          <w:rFonts w:ascii="Arial" w:cs="Arial" w:eastAsia="Arial" w:hAnsi="Arial"/>
          <w:color w:val="333333"/>
          <w:sz w:val="22"/>
          <w:szCs w:val="22"/>
        </w:rPr>
        <w:t xml:space="preserve">Write every validation step to an immutable provenance chain: the validator identity, the claim tested, the method used, the result, and the timestamp.</w:t>
      </w:r>
    </w:p>
    <w:p>
      <w:pPr>
        <w:spacing w:after="80"/>
      </w:pPr>
    </w:p>
    <w:p>
      <w:pPr>
        <w:pStyle w:val="Heading2"/>
      </w:pPr>
      <w:r>
        <w:t xml:space="preserve">4.1 Worked Example</w:t>
      </w:r>
    </w:p>
    <w:p>
      <w:pPr>
        <w:spacing w:after="180"/>
      </w:pPr>
      <w:r>
        <w:rPr>
          <w:rFonts w:ascii="Arial" w:cs="Arial" w:eastAsia="Arial" w:hAnsi="Arial"/>
          <w:color w:val="333333"/>
          <w:sz w:val="22"/>
          <w:szCs w:val="22"/>
        </w:rPr>
        <w:t xml:space="preserve">To illustrate the pipeline in practice, consider a single paragraph generated by an AI system for a financial services compliance report:</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2E75B6" w:sz="1"/>
              <w:left w:val="single" w:color="2E75B6" w:sz="12"/>
              <w:bottom w:val="single" w:color="2E75B6" w:sz="1"/>
              <w:right w:val="single" w:color="2E75B6" w:sz="1"/>
            </w:tcBorders>
            <w:shd w:fill="F5F7FA" w:val="clear"/>
            <w:tcMar>
              <w:top w:type="dxa" w:w="120"/>
              <w:left w:type="dxa" w:w="200"/>
              <w:bottom w:type="dxa" w:w="120"/>
              <w:right w:type="dxa" w:w="200"/>
            </w:tcMar>
          </w:tcPr>
          <w:p>
            <w:pPr>
              <w:spacing w:after="60"/>
            </w:pPr>
            <w:r>
              <w:rPr>
                <w:rFonts w:ascii="Arial" w:cs="Arial" w:eastAsia="Arial" w:hAnsi="Arial"/>
                <w:b/>
                <w:bCs/>
                <w:color w:val="666666"/>
                <w:sz w:val="21"/>
                <w:szCs w:val="21"/>
              </w:rPr>
              <w:t xml:space="preserve">Sample AI output: </w:t>
            </w:r>
            <w:r>
              <w:rPr>
                <w:rFonts w:ascii="Arial" w:cs="Arial" w:eastAsia="Arial" w:hAnsi="Arial"/>
                <w:i/>
                <w:iCs/>
                <w:color w:val="333333"/>
                <w:sz w:val="21"/>
                <w:szCs w:val="21"/>
              </w:rPr>
              <w:t xml:space="preserve">"Under EU AI Act Article 17, financial institutions deploying high-risk AI systems are required to maintain a quality management system. Our analysis of 1,200 compliance incidents across the sector in 2025 shows an average remediation cost of €2,340 per incident, with a 90-day mean resolution time."</w:t>
            </w:r>
          </w:p>
        </w:tc>
      </w:tr>
    </w:tbl>
    <w:p>
      <w:pPr>
        <w:spacing w:after="60"/>
      </w:pPr>
    </w:p>
    <w:p>
      <w:pPr>
        <w:spacing w:after="180"/>
      </w:pPr>
      <w:r>
        <w:rPr>
          <w:rFonts w:ascii="Arial" w:cs="Arial" w:eastAsia="Arial" w:hAnsi="Arial"/>
          <w:color w:val="333333"/>
          <w:sz w:val="22"/>
          <w:szCs w:val="22"/>
        </w:rPr>
        <w:t xml:space="preserve">The decompose stage identifies four atomic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926"/>
        <w:gridCol w:w="1200"/>
        <w:gridCol w:w="1600"/>
        <w:gridCol w:w="1800"/>
        <w:gridCol w:w="1000"/>
      </w:tblGrid>
      <w:tr>
        <w:tc>
          <w:tcPr>
            <w:tcW w:type="dxa" w:w="5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9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Claim</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1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Validator</w:t>
            </w:r>
          </w:p>
        </w:tc>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c>
          <w:tcPr>
            <w:tcW w:type="dxa" w:w="10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cᵢ</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1</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EU AI Act Article 17 requires QMS for high-risk AI</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Factual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Web search</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0.95</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2</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Financial institutions are covered as deployers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Logical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Cross-model LLM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Confirmed</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0.85</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3</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1,200 compliance incidents analysed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Groundedness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Source 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 source found → penalty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0.40</w:t>
            </w:r>
          </w:p>
        </w:tc>
      </w:tr>
      <w:tr>
        <w:tc>
          <w:tcPr>
            <w:tcW w:type="dxa" w:w="5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4</w:t>
            </w:r>
          </w:p>
        </w:tc>
        <w:tc>
          <w:tcPr>
            <w:tcW w:type="dxa" w:w="29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€2,340 avg. cost, 90-day resolution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Groundedness</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Source trace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No source found → penalty</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0.35</w:t>
            </w:r>
          </w:p>
        </w:tc>
      </w:tr>
    </w:tbl>
    <w:p>
      <w:pPr>
        <w:spacing w:after="80"/>
      </w:pPr>
    </w:p>
    <w:p>
      <w:pPr>
        <w:spacing w:after="180"/>
      </w:pPr>
      <w:r>
        <w:rPr>
          <w:rFonts w:ascii="Arial" w:cs="Arial" w:eastAsia="Arial" w:hAnsi="Arial"/>
          <w:color w:val="333333"/>
          <w:sz w:val="22"/>
          <w:szCs w:val="22"/>
        </w:rPr>
        <w:t xml:space="preserve">Claims 1 and 2 are confirmed through deterministic and cross-model checks respectively. Claims 3 and 4 are flagged as “plausible but unsourced” under the groundedness escalation protocol (Section 4.3): the numbers are internally consistent and realistic, but no source data was provided to support them. They receive the −0.3 confidence penalty.</w:t>
      </w:r>
    </w:p>
    <w:p>
      <w:pPr>
        <w:spacing w:after="180"/>
      </w:pPr>
      <w:r>
        <w:rPr>
          <w:rFonts w:ascii="Arial" w:cs="Arial" w:eastAsia="Arial" w:hAnsi="Arial"/>
          <w:color w:val="1A1A2E"/>
          <w:sz w:val="22"/>
          <w:szCs w:val="22"/>
        </w:rPr>
        <w:t xml:space="preserve">Assuming equal risk weights (w = 1.0) for simplicity, the aggregate document confidence is (0.95 + 0.85 + 0.40 + 0.35) / 4 = </w:t>
      </w:r>
      <w:r>
        <w:rPr>
          <w:rFonts w:ascii="Arial" w:cs="Arial" w:eastAsia="Arial" w:hAnsi="Arial"/>
          <w:b/>
          <w:bCs/>
          <w:color w:val="C05730"/>
          <w:sz w:val="22"/>
          <w:szCs w:val="22"/>
        </w:rPr>
        <w:t xml:space="preserve">0.64</w:t>
      </w:r>
      <w:r>
        <w:rPr>
          <w:rFonts w:ascii="Arial" w:cs="Arial" w:eastAsia="Arial" w:hAnsi="Arial"/>
          <w:color w:val="1A1A2E"/>
          <w:sz w:val="22"/>
          <w:szCs w:val="22"/>
        </w:rPr>
        <w:t xml:space="preserve">. For a client-facing compliance document with a 95% threshold, this output is automatically escalated to human review — specifically flagging claims 3 and 4 as the reason. A human reviewer can then either supply the missing source data (raising confidence) or remove the unsourced claims before publication.</w:t>
      </w:r>
    </w:p>
    <w:p>
      <w:pPr>
        <w:spacing w:after="180"/>
      </w:pPr>
      <w:r>
        <w:rPr>
          <w:rFonts w:ascii="Arial" w:cs="Arial" w:eastAsia="Arial" w:hAnsi="Arial"/>
          <w:color w:val="333333"/>
          <w:sz w:val="22"/>
          <w:szCs w:val="22"/>
        </w:rPr>
        <w:t xml:space="preserve">In a risk-weighted scenario where the groundedness claims carry w = 2.0 (higher downstream risk for fabricated statistics in compliance documents), the weighted score drops further to 0.57, reinforcing the escalation decision. The provenance chain records each step, creating a complete audit trail for regulatory inspection.</w:t>
      </w:r>
    </w:p>
    <w:p>
      <w:pPr>
        <w:spacing w:after="80"/>
      </w:pPr>
    </w:p>
    <w:p>
      <w:pPr>
        <w:pStyle w:val="Heading2"/>
      </w:pPr>
      <w:r>
        <w:t xml:space="preserve">4.2 The Provenance Chain</w:t>
      </w:r>
    </w:p>
    <w:p>
      <w:pPr>
        <w:spacing w:after="180"/>
      </w:pPr>
      <w:r>
        <w:rPr>
          <w:rFonts w:ascii="Arial" w:cs="Arial" w:eastAsia="Arial" w:hAnsi="Arial"/>
          <w:color w:val="333333"/>
          <w:sz w:val="22"/>
          <w:szCs w:val="22"/>
        </w:rPr>
        <w:t xml:space="preserve">Each validation event becomes a signed entry in a structured event log (JSONL or equivalent). The chain records not just what was checked but who checked it and how. A complete provenance entry includes the generator model and version, the claim text, the claim type, the validator model or tool, the validation method, the result (confirmed, refuted, uncertain, unverifiable), and the confidence delta.</w:t>
      </w:r>
    </w:p>
    <w:p>
      <w:pPr>
        <w:spacing w:after="180"/>
      </w:pPr>
      <w:r>
        <w:rPr>
          <w:rFonts w:ascii="Arial" w:cs="Arial" w:eastAsia="Arial" w:hAnsi="Arial"/>
          <w:color w:val="333333"/>
          <w:sz w:val="22"/>
          <w:szCs w:val="22"/>
        </w:rPr>
        <w:t xml:space="preserve">This chain serves three purposes. First, it provides the audit trail that regulatory frameworks require. The EU AI Act (Article 17) mandates quality management systems for high-risk AI, including documentation of testing and validation procedures. DORA requires operational resilience evidence, including audit trails for automated decision processes [7]. Second, it enables post-hoc analysis of verification effectiveness — which validators catch which error types, where the pipeline has blind spots. Third, it creates a portable trust artifact: the provenance chain can be attached to the output and independently inspected by the recipient.</w:t>
      </w:r>
    </w:p>
    <w:p>
      <w:pPr>
        <w:pStyle w:val="Heading2"/>
      </w:pPr>
      <w:r>
        <w:t xml:space="preserve">4.3 Groundedness Escalation Protocol</w:t>
      </w:r>
    </w:p>
    <w:p>
      <w:pPr>
        <w:spacing w:after="180"/>
      </w:pPr>
      <w:r>
        <w:rPr>
          <w:rFonts w:ascii="Arial" w:cs="Arial" w:eastAsia="Arial" w:hAnsi="Arial"/>
          <w:color w:val="333333"/>
          <w:sz w:val="22"/>
          <w:szCs w:val="22"/>
        </w:rPr>
        <w:t xml:space="preserve">The first version of this paper flagged groundedness as the “remaining hard problem” but stopped at marking claims as “unverifiable-by-AI.” This is insufficient for production systems. A robust verification pipeline defines explicit escalation behaviour for ungrounded claims:</w:t>
      </w:r>
    </w:p>
    <w:p>
      <w:pPr>
        <w:spacing w:after="4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600"/>
        <w:gridCol w:w="2426"/>
      </w:tblGrid>
      <w:tr>
        <w:tc>
          <w:tcPr>
            <w:tcW w:type="dxa" w:w="18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Groundedness Level</w:t>
            </w:r>
          </w:p>
        </w:tc>
        <w:tc>
          <w:tcPr>
            <w:tcW w:type="dxa" w:w="2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Definition</w:t>
            </w:r>
          </w:p>
        </w:tc>
        <w:tc>
          <w:tcPr>
            <w:tcW w:type="dxa" w:w="26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Pipeline Action</w:t>
            </w:r>
          </w:p>
        </w:tc>
        <w:tc>
          <w:tcPr>
            <w:tcW w:type="dxa" w:w="2426"/>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Grounded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traces to provided source data</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Auto-verify against source</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Revenue figure from uploaded report</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Externally verifiable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is checkable via public sources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Route to web search / DB</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EU AI Act article reference</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Plausible but unsourced</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is reasonable but has no source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Apply confidence penalty (−0.3)</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"Remediation costs avg. €1,500"</w:t>
            </w:r>
          </w:p>
        </w:tc>
      </w:tr>
      <w:tr>
        <w:tc>
          <w:tcPr>
            <w:tcW w:type="dxa" w:w="1800"/>
            <w:tcBorders>
              <w:top w:val="single" w:color="CCCCCC" w:sz="1"/>
              <w:left w:val="single" w:color="CCCCCC" w:sz="1"/>
              <w:bottom w:val="single" w:color="CCCCCC" w:sz="1"/>
              <w:right w:val="single" w:color="CCCCCC" w:sz="1"/>
            </w:tcBorders>
            <w:shd w:fill="F5F7FA" w:val="clear"/>
            <w:tcMar>
              <w:top w:type="dxa" w:w="80"/>
              <w:left w:type="dxa" w:w="120"/>
              <w:bottom w:type="dxa" w:w="80"/>
              <w:right w:type="dxa" w:w="120"/>
            </w:tcMar>
          </w:tcPr>
          <w:p>
            <w:pPr>
              <w:jc w:val="left"/>
            </w:pPr>
            <w:r>
              <w:rPr>
                <w:rFonts w:ascii="Arial" w:cs="Arial" w:eastAsia="Arial" w:hAnsi="Arial"/>
                <w:color w:val="333333"/>
                <w:sz w:val="20"/>
                <w:szCs w:val="20"/>
              </w:rPr>
              <w:t xml:space="preserve">Unverifiable</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color w:val="333333"/>
                <w:sz w:val="20"/>
                <w:szCs w:val="20"/>
              </w:rPr>
              <w:t xml:space="preserve">Claim cannot be checked by any tool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Flag for mandatory human review</w:t>
            </w:r>
          </w:p>
        </w:tc>
        <w:tc>
          <w:tcPr>
            <w:tcW w:type="dxa" w:w="2426"/>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color w:val="333333"/>
                <w:sz w:val="20"/>
                <w:szCs w:val="20"/>
              </w:rPr>
              <w:t xml:space="preserve">Projection based on unstated assumptions</w:t>
            </w:r>
          </w:p>
        </w:tc>
      </w:tr>
    </w:tbl>
    <w:p>
      <w:pPr>
        <w:spacing w:after="120"/>
      </w:pPr>
    </w:p>
    <w:p>
      <w:pPr>
        <w:spacing w:after="180"/>
      </w:pPr>
      <w:r>
        <w:rPr>
          <w:rFonts w:ascii="Arial" w:cs="Arial" w:eastAsia="Arial" w:hAnsi="Arial"/>
          <w:color w:val="333333"/>
          <w:sz w:val="22"/>
          <w:szCs w:val="22"/>
        </w:rPr>
        <w:t xml:space="preserve">The confidence penalty for unsourced claims is the mechanism that prevents the pipeline from producing false confidence. An output containing three unsourced numerical claims will have a materially lower aggregate confidence score than an equivalent output where all figures trace to source data. This forces the Decide stage to escalate appropriately rather than rubber-stamping plausible fabrications.</w:t>
      </w:r>
    </w:p>
    <w:p>
      <w:pPr>
        <w:pStyle w:val="Heading1"/>
      </w:pPr>
      <w:r>
        <w:t xml:space="preserve">5. What AI Validation Cannot Do</w:t>
      </w:r>
    </w:p>
    <w:p>
      <w:pPr>
        <w:spacing w:after="180"/>
      </w:pPr>
      <w:r>
        <w:rPr>
          <w:rFonts w:ascii="Arial" w:cs="Arial" w:eastAsia="Arial" w:hAnsi="Arial"/>
          <w:color w:val="333333"/>
          <w:sz w:val="22"/>
          <w:szCs w:val="22"/>
        </w:rPr>
        <w:t xml:space="preserve">It is important to be precise about the limits of this approach:</w:t>
      </w:r>
    </w:p>
    <w:p>
      <w:pPr>
        <w:spacing w:after="40"/>
      </w:pPr>
    </w:p>
    <w:p>
      <w:pPr>
        <w:pStyle w:val="ListParagraph"/>
        <w:numPr>
          <w:ilvl w:val="0"/>
          <w:numId w:val="3"/>
        </w:numPr>
        <w:spacing w:after="100"/>
      </w:pPr>
      <w:r>
        <w:rPr>
          <w:rFonts w:ascii="Arial" w:cs="Arial" w:eastAsia="Arial" w:hAnsi="Arial"/>
          <w:b/>
          <w:bCs/>
          <w:color w:val="333333"/>
          <w:sz w:val="22"/>
          <w:szCs w:val="22"/>
        </w:rPr>
        <w:t xml:space="preserve">AI cannot verify groundedness without source data. </w:t>
      </w:r>
      <w:r>
        <w:rPr>
          <w:rFonts w:ascii="Arial" w:cs="Arial" w:eastAsia="Arial" w:hAnsi="Arial"/>
          <w:color w:val="333333"/>
          <w:sz w:val="22"/>
          <w:szCs w:val="22"/>
        </w:rPr>
        <w:t xml:space="preserve">If an output claims “remediation costs average €1,500 per incident,” no model can determine whether that figure was retrieved or fabricated. The validator can check plausibility, but plausibility is exactly the problem — hallucinations are plausible by definition.</w:t>
      </w:r>
    </w:p>
    <w:p>
      <w:pPr>
        <w:pStyle w:val="ListParagraph"/>
        <w:numPr>
          <w:ilvl w:val="0"/>
          <w:numId w:val="3"/>
        </w:numPr>
        <w:spacing w:after="100"/>
      </w:pPr>
      <w:r>
        <w:rPr>
          <w:rFonts w:ascii="Arial" w:cs="Arial" w:eastAsia="Arial" w:hAnsi="Arial"/>
          <w:b/>
          <w:bCs/>
          <w:color w:val="333333"/>
          <w:sz w:val="22"/>
          <w:szCs w:val="22"/>
        </w:rPr>
        <w:t xml:space="preserve">Cross-model validation reduces but does not eliminate correlation. </w:t>
      </w:r>
      <w:r>
        <w:rPr>
          <w:rFonts w:ascii="Arial" w:cs="Arial" w:eastAsia="Arial" w:hAnsi="Arial"/>
          <w:color w:val="333333"/>
          <w:sz w:val="22"/>
          <w:szCs w:val="22"/>
        </w:rPr>
        <w:t xml:space="preserve">Models trained on overlapping internet data share some blind spots. Empirically, even distinct architectures and providers show 60% error agreement when both models are wrong [3]. This correlation is lower than same-model checking, but it is not zero, and may increase as model training pipelines converge [9].</w:t>
      </w:r>
    </w:p>
    <w:p>
      <w:pPr>
        <w:pStyle w:val="ListParagraph"/>
        <w:numPr>
          <w:ilvl w:val="0"/>
          <w:numId w:val="3"/>
        </w:numPr>
        <w:spacing w:after="100"/>
      </w:pPr>
      <w:r>
        <w:rPr>
          <w:rFonts w:ascii="Arial" w:cs="Arial" w:eastAsia="Arial" w:hAnsi="Arial"/>
          <w:b/>
          <w:bCs/>
          <w:color w:val="333333"/>
          <w:sz w:val="22"/>
          <w:szCs w:val="22"/>
        </w:rPr>
        <w:t xml:space="preserve">Confidence scores are estimates, not measurements. </w:t>
      </w:r>
      <w:r>
        <w:rPr>
          <w:rFonts w:ascii="Arial" w:cs="Arial" w:eastAsia="Arial" w:hAnsi="Arial"/>
          <w:color w:val="333333"/>
          <w:sz w:val="22"/>
          <w:szCs w:val="22"/>
        </w:rPr>
        <w:t xml:space="preserve">Unlike a physical instrument with known calibration, an AI confidence score reflects the system’s self-assessment. Overconfidence is a known failure mode, and verification pipelines inherit this limitation.</w:t>
      </w:r>
    </w:p>
    <w:p>
      <w:pPr>
        <w:pStyle w:val="ListParagraph"/>
        <w:numPr>
          <w:ilvl w:val="0"/>
          <w:numId w:val="3"/>
        </w:numPr>
        <w:spacing w:after="100"/>
      </w:pPr>
      <w:r>
        <w:rPr>
          <w:rFonts w:ascii="Arial" w:cs="Arial" w:eastAsia="Arial" w:hAnsi="Arial"/>
          <w:b/>
          <w:bCs/>
          <w:color w:val="333333"/>
          <w:sz w:val="22"/>
          <w:szCs w:val="22"/>
        </w:rPr>
        <w:t xml:space="preserve">Iterative refinement can degrade output quality. </w:t>
      </w:r>
      <w:r>
        <w:rPr>
          <w:rFonts w:ascii="Arial" w:cs="Arial" w:eastAsia="Arial" w:hAnsi="Arial"/>
          <w:color w:val="333333"/>
          <w:sz w:val="22"/>
          <w:szCs w:val="22"/>
        </w:rPr>
        <w:t xml:space="preserve">Self-refine loops help on hard tasks but can introduce new errors on easier ones [5]. The system needs to know when to stop, not just when to continue.</w:t>
      </w:r>
    </w:p>
    <w:p>
      <w:pPr>
        <w:pStyle w:val="ListParagraph"/>
        <w:numPr>
          <w:ilvl w:val="0"/>
          <w:numId w:val="3"/>
        </w:numPr>
        <w:spacing w:after="100"/>
      </w:pPr>
      <w:r>
        <w:rPr>
          <w:rFonts w:ascii="Arial" w:cs="Arial" w:eastAsia="Arial" w:hAnsi="Arial"/>
          <w:b/>
          <w:bCs/>
          <w:color w:val="333333"/>
          <w:sz w:val="22"/>
          <w:szCs w:val="22"/>
        </w:rPr>
        <w:t xml:space="preserve">The verification pipeline is itself an AI system. </w:t>
      </w:r>
      <w:r>
        <w:rPr>
          <w:rFonts w:ascii="Arial" w:cs="Arial" w:eastAsia="Arial" w:hAnsi="Arial"/>
          <w:color w:val="333333"/>
          <w:sz w:val="22"/>
          <w:szCs w:val="22"/>
        </w:rPr>
        <w:t xml:space="preserve">It warrants the same scrutiny and governance as the systems it verifies. Quis custodiet ipsos custodes applies with full force.</w:t>
      </w:r>
    </w:p>
    <w:p>
      <w:pPr>
        <w:spacing w:after="60"/>
      </w:pPr>
    </w:p>
    <w:p>
      <w:pPr>
        <w:pStyle w:val="Heading2"/>
      </w:pPr>
      <w:r>
        <w:t xml:space="preserve">5.1 Adversarial Robustness</w:t>
      </w:r>
    </w:p>
    <w:p>
      <w:pPr>
        <w:spacing w:after="180"/>
      </w:pPr>
      <w:r>
        <w:rPr>
          <w:rFonts w:ascii="Arial" w:cs="Arial" w:eastAsia="Arial" w:hAnsi="Arial"/>
          <w:color w:val="333333"/>
          <w:sz w:val="22"/>
          <w:szCs w:val="22"/>
        </w:rPr>
        <w:t xml:space="preserve">A verification pipeline must also consider adversarial inputs: content deliberately crafted to evade detection. If an upstream system or data source introduces claims designed to appear plausible to multiple models simultaneously, cross-model verification may fail to catch them. This is not a theoretical concern — research on adversarial attacks against LLM-based fact-checkers demonstrates that carefully constructed false claims can achieve high pass rates across multiple models [8].</w:t>
      </w:r>
    </w:p>
    <w:p>
      <w:pPr>
        <w:spacing w:after="180"/>
      </w:pPr>
      <w:r>
        <w:rPr>
          <w:rFonts w:ascii="Arial" w:cs="Arial" w:eastAsia="Arial" w:hAnsi="Arial"/>
          <w:color w:val="333333"/>
          <w:sz w:val="22"/>
          <w:szCs w:val="22"/>
        </w:rPr>
        <w:t xml:space="preserve">Mitigations include:</w:t>
      </w:r>
    </w:p>
    <w:p>
      <w:pPr>
        <w:spacing w:after="40"/>
      </w:pPr>
    </w:p>
    <w:p>
      <w:pPr>
        <w:pStyle w:val="ListParagraph"/>
        <w:numPr>
          <w:ilvl w:val="0"/>
          <w:numId w:val="4"/>
        </w:numPr>
        <w:spacing w:after="100"/>
      </w:pPr>
      <w:r>
        <w:rPr>
          <w:rFonts w:ascii="Arial" w:cs="Arial" w:eastAsia="Arial" w:hAnsi="Arial"/>
          <w:b/>
          <w:bCs/>
          <w:color w:val="333333"/>
          <w:sz w:val="22"/>
          <w:szCs w:val="22"/>
        </w:rPr>
        <w:t xml:space="preserve">Source pinning: </w:t>
      </w:r>
      <w:r>
        <w:rPr>
          <w:rFonts w:ascii="Arial" w:cs="Arial" w:eastAsia="Arial" w:hAnsi="Arial"/>
          <w:color w:val="333333"/>
          <w:sz w:val="22"/>
          <w:szCs w:val="22"/>
        </w:rPr>
        <w:t xml:space="preserve">Requiring factual claims to link to a specific, retrievable source rather than relying on model knowledge alone. Claims without source pins receive the confidence penalty from Section 4.3.</w:t>
      </w:r>
    </w:p>
    <w:p>
      <w:pPr>
        <w:pStyle w:val="ListParagraph"/>
        <w:numPr>
          <w:ilvl w:val="0"/>
          <w:numId w:val="4"/>
        </w:numPr>
        <w:spacing w:after="100"/>
      </w:pPr>
      <w:r>
        <w:rPr>
          <w:rFonts w:ascii="Arial" w:cs="Arial" w:eastAsia="Arial" w:hAnsi="Arial"/>
          <w:b/>
          <w:bCs/>
          <w:color w:val="333333"/>
          <w:sz w:val="22"/>
          <w:szCs w:val="22"/>
        </w:rPr>
        <w:t xml:space="preserve">Input anomaly detection: </w:t>
      </w:r>
      <w:r>
        <w:rPr>
          <w:rFonts w:ascii="Arial" w:cs="Arial" w:eastAsia="Arial" w:hAnsi="Arial"/>
          <w:color w:val="333333"/>
          <w:sz w:val="22"/>
          <w:szCs w:val="22"/>
        </w:rPr>
        <w:t xml:space="preserve">Monitoring for inputs with statistically unusual confidence profiles (e.g., all claims rated 0.95+ by all validators), which may indicate adversarial crafting.</w:t>
      </w:r>
    </w:p>
    <w:p>
      <w:pPr>
        <w:pStyle w:val="ListParagraph"/>
        <w:numPr>
          <w:ilvl w:val="0"/>
          <w:numId w:val="4"/>
        </w:numPr>
        <w:spacing w:after="100"/>
      </w:pPr>
      <w:r>
        <w:rPr>
          <w:rFonts w:ascii="Arial" w:cs="Arial" w:eastAsia="Arial" w:hAnsi="Arial"/>
          <w:b/>
          <w:bCs/>
          <w:color w:val="333333"/>
          <w:sz w:val="22"/>
          <w:szCs w:val="22"/>
        </w:rPr>
        <w:t xml:space="preserve">Deterministic anchors: </w:t>
      </w:r>
      <w:r>
        <w:rPr>
          <w:rFonts w:ascii="Arial" w:cs="Arial" w:eastAsia="Arial" w:hAnsi="Arial"/>
          <w:color w:val="333333"/>
          <w:sz w:val="22"/>
          <w:szCs w:val="22"/>
        </w:rPr>
        <w:t xml:space="preserve">Where possible, replacing LLM-based verification with deterministic checks (schema validation, code execution, database lookup) that are not susceptible to the same adversarial manipulation as neural models.</w:t>
      </w:r>
    </w:p>
    <w:p>
      <w:pPr>
        <w:pStyle w:val="ListParagraph"/>
        <w:numPr>
          <w:ilvl w:val="0"/>
          <w:numId w:val="4"/>
        </w:numPr>
        <w:spacing w:after="100"/>
      </w:pPr>
      <w:r>
        <w:rPr>
          <w:rFonts w:ascii="Arial" w:cs="Arial" w:eastAsia="Arial" w:hAnsi="Arial"/>
          <w:b/>
          <w:bCs/>
          <w:color w:val="333333"/>
          <w:sz w:val="22"/>
          <w:szCs w:val="22"/>
        </w:rPr>
        <w:t xml:space="preserve">Human spot-checks on high-confidence outputs: </w:t>
      </w:r>
      <w:r>
        <w:rPr>
          <w:rFonts w:ascii="Arial" w:cs="Arial" w:eastAsia="Arial" w:hAnsi="Arial"/>
          <w:color w:val="333333"/>
          <w:sz w:val="22"/>
          <w:szCs w:val="22"/>
        </w:rPr>
        <w:t xml:space="preserve">Counterintuitively, human review may be most valuable on outputs the pipeline rates highest, since adversarial content is designed to achieve exactly this profile.</w:t>
      </w:r>
    </w:p>
    <w:p>
      <w:pPr>
        <w:spacing w:after="60"/>
      </w:pPr>
    </w:p>
    <w:p>
      <w:pPr>
        <w:spacing w:after="180"/>
      </w:pPr>
      <w:r>
        <w:rPr>
          <w:rFonts w:ascii="Arial" w:cs="Arial" w:eastAsia="Arial" w:hAnsi="Arial"/>
          <w:color w:val="1A1A2E"/>
          <w:sz w:val="22"/>
          <w:szCs w:val="22"/>
        </w:rPr>
        <w:t xml:space="preserve">The honest framing remains: </w:t>
      </w:r>
      <w:r>
        <w:rPr>
          <w:rFonts w:ascii="Arial" w:cs="Arial" w:eastAsia="Arial" w:hAnsi="Arial"/>
          <w:b/>
          <w:bCs/>
          <w:color w:val="1A1A2E"/>
          <w:sz w:val="22"/>
          <w:szCs w:val="22"/>
        </w:rPr>
        <w:t xml:space="preserve">AI verification of AI output produces process evidence, not truth evidence. </w:t>
      </w:r>
      <w:r>
        <w:rPr>
          <w:rFonts w:ascii="Arial" w:cs="Arial" w:eastAsia="Arial" w:hAnsi="Arial"/>
          <w:color w:val="1A1A2E"/>
          <w:sz w:val="22"/>
          <w:szCs w:val="22"/>
        </w:rPr>
        <w:t xml:space="preserve">It can prove that an output was checked, by what tools, using what methods, and what was found. It cannot guarantee correctness. What it can do is make the probability and cost of undetected errors calculable — and that is what risk management requires.</w:t>
      </w:r>
    </w:p>
    <w:p>
      <w:pPr>
        <w:pStyle w:val="Heading1"/>
      </w:pPr>
      <w:r>
        <w:t xml:space="preserve">6. Implementation Considerations</w:t>
      </w:r>
    </w:p>
    <w:p>
      <w:pPr>
        <w:pStyle w:val="Heading2"/>
      </w:pPr>
      <w:r>
        <w:t xml:space="preserve">6.1 Cost Model</w:t>
      </w:r>
    </w:p>
    <w:p>
      <w:pPr>
        <w:spacing w:after="180"/>
      </w:pPr>
      <w:r>
        <w:rPr>
          <w:rFonts w:ascii="Arial" w:cs="Arial" w:eastAsia="Arial" w:hAnsi="Arial"/>
          <w:color w:val="333333"/>
          <w:sz w:val="22"/>
          <w:szCs w:val="22"/>
        </w:rPr>
        <w:t xml:space="preserve">Verification is not free. Each cross-model API call, each web search, each code execution adds latency and token cost. A three-pass verification pipeline on a 2,000-token document might cost €0.08–0.15 in API fees, versus €0.02–0.04 for generation alone. The economic question is whether this 3–7x cost multiplier is justified by the reduction in downstream remediation, regulatory exposure, and trust erosion.</w:t>
      </w:r>
    </w:p>
    <w:p>
      <w:pPr>
        <w:spacing w:after="180"/>
      </w:pPr>
      <w:r>
        <w:rPr>
          <w:rFonts w:ascii="Arial" w:cs="Arial" w:eastAsia="Arial" w:hAnsi="Arial"/>
          <w:color w:val="333333"/>
          <w:sz w:val="22"/>
          <w:szCs w:val="22"/>
        </w:rPr>
        <w:t xml:space="preserve">The answer depends on the output’s risk tier. For internal exploratory analysis, a single self-review pass may suffice. For client-facing compliance documents, three-pass hybrid verification with human escalation is likely cost-effective given remediation costs of €1,000+ per incident. The confidence budget from Section 3.2 provides the decision framework.</w:t>
      </w:r>
    </w:p>
    <w:p>
      <w:pPr>
        <w:pStyle w:val="Heading2"/>
      </w:pPr>
      <w:r>
        <w:t xml:space="preserve">6.2 Latency</w:t>
      </w:r>
    </w:p>
    <w:p>
      <w:pPr>
        <w:spacing w:after="180"/>
      </w:pPr>
      <w:r>
        <w:rPr>
          <w:rFonts w:ascii="Arial" w:cs="Arial" w:eastAsia="Arial" w:hAnsi="Arial"/>
          <w:color w:val="333333"/>
          <w:sz w:val="22"/>
          <w:szCs w:val="22"/>
        </w:rPr>
        <w:t xml:space="preserve">Sequential validation (generate → validate → fix → revalidate) adds wall-clock time. Parallel validation of independent claims can reduce this significantly: factual checks, mathematical verification, and structural review can run concurrently. A well-designed pipeline adds 2–4 seconds of latency for a standard document, which is acceptable for asynchronous workflows but may not suit real-time applications.</w:t>
      </w:r>
    </w:p>
    <w:p>
      <w:pPr>
        <w:pStyle w:val="Heading2"/>
      </w:pPr>
      <w:r>
        <w:t xml:space="preserve">6.3 Model Selection for Validators</w:t>
      </w:r>
    </w:p>
    <w:p>
      <w:pPr>
        <w:spacing w:after="180"/>
      </w:pPr>
      <w:r>
        <w:rPr>
          <w:rFonts w:ascii="Arial" w:cs="Arial" w:eastAsia="Arial" w:hAnsi="Arial"/>
          <w:color w:val="333333"/>
          <w:sz w:val="22"/>
          <w:szCs w:val="22"/>
        </w:rPr>
        <w:t xml:space="preserve">The choice of validator model should maximise error-mode diversity while accounting for convergence risk (Section 2.2) and the value of less powerful models (Section 2.3). The guiding principle is: prioritise failure-mode diversity over raw capability. A heterogeneous validator ensemble that fails independently will outperform a homogeneous frontier ensemble that fails in correlated ways.</w:t>
      </w:r>
    </w:p>
    <w:p>
      <w:pPr>
        <w:spacing w:after="180"/>
      </w:pPr>
      <w:r>
        <w:rPr>
          <w:rFonts w:ascii="Arial" w:cs="Arial" w:eastAsia="Arial" w:hAnsi="Arial"/>
          <w:color w:val="333333"/>
          <w:sz w:val="22"/>
          <w:szCs w:val="22"/>
        </w:rPr>
        <w:t xml:space="preserve">Recommended validator composition for a production pipeline:</w:t>
      </w:r>
    </w:p>
    <w:p>
      <w:pPr>
        <w:spacing w:after="40"/>
      </w:pPr>
    </w:p>
    <w:p>
      <w:pPr>
        <w:pStyle w:val="ListParagraph"/>
        <w:numPr>
          <w:ilvl w:val="0"/>
          <w:numId w:val="5"/>
        </w:numPr>
        <w:spacing w:after="100"/>
      </w:pPr>
      <w:r>
        <w:rPr>
          <w:rFonts w:ascii="Arial" w:cs="Arial" w:eastAsia="Arial" w:hAnsi="Arial"/>
          <w:b/>
          <w:bCs/>
          <w:color w:val="333333"/>
          <w:sz w:val="22"/>
          <w:szCs w:val="22"/>
        </w:rPr>
        <w:t xml:space="preserve">Deterministic tools first. </w:t>
      </w:r>
      <w:r>
        <w:rPr>
          <w:rFonts w:ascii="Arial" w:cs="Arial" w:eastAsia="Arial" w:hAnsi="Arial"/>
          <w:color w:val="333333"/>
          <w:sz w:val="22"/>
          <w:szCs w:val="22"/>
        </w:rPr>
        <w:t xml:space="preserve">Code execution for mathematical claims, web search with source extraction for factual claims, schema validation for structural constraints. These are not susceptible to the correlated error problem and should handle every claim they can before any LLM-based validator is invoked.</w:t>
      </w:r>
    </w:p>
    <w:p>
      <w:pPr>
        <w:pStyle w:val="ListParagraph"/>
        <w:numPr>
          <w:ilvl w:val="0"/>
          <w:numId w:val="5"/>
        </w:numPr>
        <w:spacing w:after="100"/>
      </w:pPr>
      <w:r>
        <w:rPr>
          <w:rFonts w:ascii="Arial" w:cs="Arial" w:eastAsia="Arial" w:hAnsi="Arial"/>
          <w:b/>
          <w:bCs/>
          <w:color w:val="333333"/>
          <w:sz w:val="22"/>
          <w:szCs w:val="22"/>
        </w:rPr>
        <w:t xml:space="preserve">Small, non-frontier model as diversity check. </w:t>
      </w:r>
      <w:r>
        <w:rPr>
          <w:rFonts w:ascii="Arial" w:cs="Arial" w:eastAsia="Arial" w:hAnsi="Arial"/>
          <w:color w:val="333333"/>
          <w:sz w:val="22"/>
          <w:szCs w:val="22"/>
        </w:rPr>
        <w:t xml:space="preserve">A 7B–13B open-weight model (e.g., Mistral, Llama) trained on a different data mix than the generator. Its role is not to be the best validator but to be the least correlated one. Route structural and logical claims through it as a first-pass error-correlation circuit breaker.</w:t>
      </w:r>
    </w:p>
    <w:p>
      <w:pPr>
        <w:pStyle w:val="ListParagraph"/>
        <w:numPr>
          <w:ilvl w:val="0"/>
          <w:numId w:val="5"/>
        </w:numPr>
        <w:spacing w:after="100"/>
      </w:pPr>
      <w:r>
        <w:rPr>
          <w:rFonts w:ascii="Arial" w:cs="Arial" w:eastAsia="Arial" w:hAnsi="Arial"/>
          <w:b/>
          <w:bCs/>
          <w:color w:val="333333"/>
          <w:sz w:val="22"/>
          <w:szCs w:val="22"/>
        </w:rPr>
        <w:t xml:space="preserve">Frontier cross-model for high-stakes claims. </w:t>
      </w:r>
      <w:r>
        <w:rPr>
          <w:rFonts w:ascii="Arial" w:cs="Arial" w:eastAsia="Arial" w:hAnsi="Arial"/>
          <w:color w:val="333333"/>
          <w:sz w:val="22"/>
          <w:szCs w:val="22"/>
        </w:rPr>
        <w:t xml:space="preserve">Reserve a frontier model from a different provider (e.g., GPT-4 if Claude generated, or vice versa) for claims the deterministic tools cannot check and the small model flagged as uncertain. This is the most expensive validator and should be used sparingly.</w:t>
      </w:r>
    </w:p>
    <w:p>
      <w:pPr>
        <w:pStyle w:val="ListParagraph"/>
        <w:numPr>
          <w:ilvl w:val="0"/>
          <w:numId w:val="5"/>
        </w:numPr>
        <w:spacing w:after="100"/>
      </w:pPr>
      <w:r>
        <w:rPr>
          <w:rFonts w:ascii="Arial" w:cs="Arial" w:eastAsia="Arial" w:hAnsi="Arial"/>
          <w:b/>
          <w:bCs/>
          <w:color w:val="333333"/>
          <w:sz w:val="22"/>
          <w:szCs w:val="22"/>
        </w:rPr>
        <w:t xml:space="preserve">Targeted RAG for groundedness-sensitive claims. </w:t>
      </w:r>
      <w:r>
        <w:rPr>
          <w:rFonts w:ascii="Arial" w:cs="Arial" w:eastAsia="Arial" w:hAnsi="Arial"/>
          <w:color w:val="333333"/>
          <w:sz w:val="22"/>
          <w:szCs w:val="22"/>
        </w:rPr>
        <w:t xml:space="preserve">When the pipeline encounters claims categorised as “plausible but unsourced” (Section 4.3), a retrieval-augmented generation pass can attempt to locate supporting evidence in a curated knowledge base or document corpus. This is not a general-purpose randomness mechanism — it is a targeted intervention applied only to claims that the groundedness escalation protocol has flagged. If the RAG pass fails to retrieve supporting evidence, the claim retains its confidence penalty and proceeds to human escalation.</w:t>
      </w:r>
    </w:p>
    <w:p>
      <w:pPr>
        <w:spacing w:after="40"/>
      </w:pPr>
    </w:p>
    <w:p>
      <w:pPr>
        <w:spacing w:after="180"/>
      </w:pPr>
      <w:r>
        <w:rPr>
          <w:rFonts w:ascii="Arial" w:cs="Arial" w:eastAsia="Arial" w:hAnsi="Arial"/>
          <w:color w:val="333333"/>
          <w:sz w:val="22"/>
          <w:szCs w:val="22"/>
        </w:rPr>
        <w:t xml:space="preserve">The arbiter model (for resolving disagreements between validators) should ideally be a third model family, but in practice, deterministic evidence should override any LLM-based disagreement. If web search confirms a factual claim that two LLMs dispute, the web search result takes precedence.</w:t>
      </w:r>
    </w:p>
    <w:p>
      <w:pPr>
        <w:pStyle w:val="Heading2"/>
      </w:pPr>
      <w:r>
        <w:t xml:space="preserve">6.4 Benchmarking and Calibration</w:t>
      </w:r>
    </w:p>
    <w:p>
      <w:pPr>
        <w:spacing w:after="180"/>
      </w:pPr>
      <w:r>
        <w:rPr>
          <w:rFonts w:ascii="Arial" w:cs="Arial" w:eastAsia="Arial" w:hAnsi="Arial"/>
          <w:color w:val="333333"/>
          <w:sz w:val="22"/>
          <w:szCs w:val="22"/>
        </w:rPr>
        <w:t xml:space="preserve">Before deploying a verification pipeline in production, the confidence scoring function requires calibration against empirical data. Recommended approach:</w:t>
      </w:r>
    </w:p>
    <w:p>
      <w:pPr>
        <w:spacing w:after="40"/>
      </w:pPr>
    </w:p>
    <w:p>
      <w:pPr>
        <w:pStyle w:val="ListParagraph"/>
        <w:numPr>
          <w:ilvl w:val="0"/>
          <w:numId w:val="6"/>
        </w:numPr>
        <w:spacing w:after="100"/>
      </w:pPr>
      <w:r>
        <w:rPr>
          <w:rFonts w:ascii="Arial" w:cs="Arial" w:eastAsia="Arial" w:hAnsi="Arial"/>
          <w:b/>
          <w:bCs/>
          <w:color w:val="333333"/>
          <w:sz w:val="22"/>
          <w:szCs w:val="22"/>
        </w:rPr>
        <w:t xml:space="preserve">Baseline measurement: </w:t>
      </w:r>
      <w:r>
        <w:rPr>
          <w:rFonts w:ascii="Arial" w:cs="Arial" w:eastAsia="Arial" w:hAnsi="Arial"/>
          <w:color w:val="333333"/>
          <w:sz w:val="22"/>
          <w:szCs w:val="22"/>
        </w:rPr>
        <w:t xml:space="preserve">Run the generator on a domain-specific evaluation set (e.g., FEVER for fact verification, HOVER for multi-hop claims, or a custom hallucination suite). Measure the raw error rate and error type distribution.</w:t>
      </w:r>
    </w:p>
    <w:p>
      <w:pPr>
        <w:pStyle w:val="ListParagraph"/>
        <w:numPr>
          <w:ilvl w:val="0"/>
          <w:numId w:val="6"/>
        </w:numPr>
        <w:spacing w:after="100"/>
      </w:pPr>
      <w:r>
        <w:rPr>
          <w:rFonts w:ascii="Arial" w:cs="Arial" w:eastAsia="Arial" w:hAnsi="Arial"/>
          <w:b/>
          <w:bCs/>
          <w:color w:val="333333"/>
          <w:sz w:val="22"/>
          <w:szCs w:val="22"/>
        </w:rPr>
        <w:t xml:space="preserve">Single-pass measurement: </w:t>
      </w:r>
      <w:r>
        <w:rPr>
          <w:rFonts w:ascii="Arial" w:cs="Arial" w:eastAsia="Arial" w:hAnsi="Arial"/>
          <w:color w:val="333333"/>
          <w:sz w:val="22"/>
          <w:szCs w:val="22"/>
        </w:rPr>
        <w:t xml:space="preserve">Run same-model self-review and measure which error types are caught and which persist. This provides the empirical Pass 1 uncertainty reduction for the specific model and domain.</w:t>
      </w:r>
    </w:p>
    <w:p>
      <w:pPr>
        <w:pStyle w:val="ListParagraph"/>
        <w:numPr>
          <w:ilvl w:val="0"/>
          <w:numId w:val="6"/>
        </w:numPr>
        <w:spacing w:after="100"/>
      </w:pPr>
      <w:r>
        <w:rPr>
          <w:rFonts w:ascii="Arial" w:cs="Arial" w:eastAsia="Arial" w:hAnsi="Arial"/>
          <w:b/>
          <w:bCs/>
          <w:color w:val="333333"/>
          <w:sz w:val="22"/>
          <w:szCs w:val="22"/>
        </w:rPr>
        <w:t xml:space="preserve">Cross-model measurement: </w:t>
      </w:r>
      <w:r>
        <w:rPr>
          <w:rFonts w:ascii="Arial" w:cs="Arial" w:eastAsia="Arial" w:hAnsi="Arial"/>
          <w:color w:val="333333"/>
          <w:sz w:val="22"/>
          <w:szCs w:val="22"/>
        </w:rPr>
        <w:t xml:space="preserve">Repeat with each candidate validator model. Measure error correlation between generator and validator to quantify the actual diversity gain.</w:t>
      </w:r>
    </w:p>
    <w:p>
      <w:pPr>
        <w:pStyle w:val="ListParagraph"/>
        <w:numPr>
          <w:ilvl w:val="0"/>
          <w:numId w:val="6"/>
        </w:numPr>
        <w:spacing w:after="100"/>
      </w:pPr>
      <w:r>
        <w:rPr>
          <w:rFonts w:ascii="Arial" w:cs="Arial" w:eastAsia="Arial" w:hAnsi="Arial"/>
          <w:b/>
          <w:bCs/>
          <w:color w:val="333333"/>
          <w:sz w:val="22"/>
          <w:szCs w:val="22"/>
        </w:rPr>
        <w:t xml:space="preserve">Hybrid measurement: </w:t>
      </w:r>
      <w:r>
        <w:rPr>
          <w:rFonts w:ascii="Arial" w:cs="Arial" w:eastAsia="Arial" w:hAnsi="Arial"/>
          <w:color w:val="333333"/>
          <w:sz w:val="22"/>
          <w:szCs w:val="22"/>
        </w:rPr>
        <w:t xml:space="preserve">Add deterministic validators (code execution, web search) and measure the incremental catch rate. This is typically the largest single improvement.</w:t>
      </w:r>
    </w:p>
    <w:p>
      <w:pPr>
        <w:pStyle w:val="ListParagraph"/>
        <w:numPr>
          <w:ilvl w:val="0"/>
          <w:numId w:val="6"/>
        </w:numPr>
        <w:spacing w:after="100"/>
      </w:pPr>
      <w:r>
        <w:rPr>
          <w:rFonts w:ascii="Arial" w:cs="Arial" w:eastAsia="Arial" w:hAnsi="Arial"/>
          <w:b/>
          <w:bCs/>
          <w:color w:val="333333"/>
          <w:sz w:val="22"/>
          <w:szCs w:val="22"/>
        </w:rPr>
        <w:t xml:space="preserve">Calibrate weights: </w:t>
      </w:r>
      <w:r>
        <w:rPr>
          <w:rFonts w:ascii="Arial" w:cs="Arial" w:eastAsia="Arial" w:hAnsi="Arial"/>
          <w:color w:val="333333"/>
          <w:sz w:val="22"/>
          <w:szCs w:val="22"/>
        </w:rPr>
        <w:t xml:space="preserve">Use the measured error type distribution and catch rates to set the risk weights (wᵢ) in the scoring function. Weights should be re-calibrated quarterly or when the model mix changes.</w:t>
      </w:r>
    </w:p>
    <w:p>
      <w:pPr>
        <w:spacing w:after="40"/>
      </w:pPr>
    </w:p>
    <w:p>
      <w:pPr>
        <w:spacing w:after="180"/>
      </w:pPr>
      <w:r>
        <w:rPr>
          <w:rFonts w:ascii="Arial" w:cs="Arial" w:eastAsia="Arial" w:hAnsi="Arial"/>
          <w:color w:val="333333"/>
          <w:sz w:val="22"/>
          <w:szCs w:val="22"/>
        </w:rPr>
        <w:t xml:space="preserve">This empirical calibration is what transforms the heuristic estimates in Section 3 into operational parameters. Without it, the confidence scores are directionally useful but not decision-grade.</w:t>
      </w:r>
    </w:p>
    <w:p>
      <w:pPr>
        <w:pStyle w:val="Heading1"/>
      </w:pPr>
      <w:r>
        <w:t xml:space="preserve">7. Conclusion</w:t>
      </w:r>
    </w:p>
    <w:p>
      <w:pPr>
        <w:spacing w:after="180"/>
      </w:pPr>
      <w:r>
        <w:rPr>
          <w:rFonts w:ascii="Arial" w:cs="Arial" w:eastAsia="Arial" w:hAnsi="Arial"/>
          <w:color w:val="333333"/>
          <w:sz w:val="22"/>
          <w:szCs w:val="22"/>
        </w:rPr>
        <w:t xml:space="preserve">The verification of AI outputs is not a solved problem, but it is a tractable one. The key principles are: same-model verification has limited value due to correlated errors [1]; cross-model validation with decomposed, typed claims substantially improves reliability but does not eliminate correlated failures [2, 3, 9]; confidence scales as a decay curve with diminishing returns per pass [4, 5]; and the provenance chain — recording what was checked, by whom, how, and with what result — is the foundation for both regulatory compliance and operational trust [7].</w:t>
      </w:r>
    </w:p>
    <w:p>
      <w:pPr>
        <w:spacing w:after="180"/>
      </w:pPr>
      <w:r>
        <w:rPr>
          <w:rFonts w:ascii="Arial" w:cs="Arial" w:eastAsia="Arial" w:hAnsi="Arial"/>
          <w:color w:val="333333"/>
          <w:sz w:val="22"/>
          <w:szCs w:val="22"/>
        </w:rPr>
        <w:t xml:space="preserve">The remaining hard problem is groundedness: distinguishing fabricated claims from grounded ones in the absence of source data. This paper’s contribution is to move beyond flagging this as a limitation and to propose a concrete escalation protocol (Section 4.3), a confidence penalty mechanism, and a scoring function (Section 3.2.1) that makes unverified claims visible in the aggregate score rather than silently passing them through. That the paper’s own development required exactly this process (Section 2.4) is not a weakness but a demonstration: the architecture works when applied to its own outputs.</w:t>
      </w:r>
    </w:p>
    <w:p>
      <w:pPr>
        <w:spacing w:after="180"/>
      </w:pPr>
      <w:r>
        <w:rPr>
          <w:rFonts w:ascii="Arial" w:cs="Arial" w:eastAsia="Arial" w:hAnsi="Arial"/>
          <w:color w:val="1A1A2E"/>
          <w:sz w:val="22"/>
          <w:szCs w:val="22"/>
        </w:rPr>
        <w:t xml:space="preserve">The goal is not to make AI infallible. The goal is to make AI failure modes </w:t>
      </w:r>
      <w:r>
        <w:rPr>
          <w:rFonts w:ascii="Arial" w:cs="Arial" w:eastAsia="Arial" w:hAnsi="Arial"/>
          <w:b/>
          <w:bCs/>
          <w:color w:val="1A1A2E"/>
          <w:sz w:val="22"/>
          <w:szCs w:val="22"/>
        </w:rPr>
        <w:t xml:space="preserve">visible, measurable, and auditable</w:t>
      </w:r>
      <w:r>
        <w:rPr>
          <w:rFonts w:ascii="Arial" w:cs="Arial" w:eastAsia="Arial" w:hAnsi="Arial"/>
          <w:color w:val="1A1A2E"/>
          <w:sz w:val="22"/>
          <w:szCs w:val="22"/>
        </w:rPr>
        <w:t xml:space="preserve"> — so that the cost of being wrong is a managed risk rather than an unpriced surprise.</w:t>
      </w:r>
    </w:p>
    <w:p>
      <w:pPr>
        <w:pStyle w:val="Heading1"/>
      </w:pPr>
      <w:r>
        <w:t xml:space="preserve">References</w:t>
      </w:r>
    </w:p>
    <w:p>
      <w:pPr>
        <w:spacing w:after="180"/>
      </w:pPr>
      <w:r>
        <w:rPr>
          <w:rFonts w:ascii="Arial" w:cs="Arial" w:eastAsia="Arial" w:hAnsi="Arial"/>
          <w:b/>
          <w:bCs/>
          <w:color w:val="333333"/>
          <w:sz w:val="22"/>
          <w:szCs w:val="22"/>
        </w:rPr>
        <w:t xml:space="preserve">[1] </w:t>
      </w:r>
      <w:r>
        <w:rPr>
          <w:rFonts w:ascii="Arial" w:cs="Arial" w:eastAsia="Arial" w:hAnsi="Arial"/>
          <w:color w:val="333333"/>
          <w:sz w:val="22"/>
          <w:szCs w:val="22"/>
        </w:rPr>
        <w:t xml:space="preserve">Huang, J., et al. (2024). “Large Language Models Cannot Self-Correct Reasoning Yet.” ICLR 2024. Demonstrates that LLMs struggle to self-correct without external feedback, with self-verification reinforcing rather than catching errors.</w:t>
      </w:r>
    </w:p>
    <w:p>
      <w:pPr>
        <w:spacing w:after="180"/>
      </w:pPr>
      <w:r>
        <w:rPr>
          <w:rFonts w:ascii="Arial" w:cs="Arial" w:eastAsia="Arial" w:hAnsi="Arial"/>
          <w:b/>
          <w:bCs/>
          <w:color w:val="333333"/>
          <w:sz w:val="22"/>
          <w:szCs w:val="22"/>
        </w:rPr>
        <w:t xml:space="preserve">[2] </w:t>
      </w:r>
      <w:r>
        <w:rPr>
          <w:rFonts w:ascii="Arial" w:cs="Arial" w:eastAsia="Arial" w:hAnsi="Arial"/>
          <w:color w:val="333333"/>
          <w:sz w:val="22"/>
          <w:szCs w:val="22"/>
        </w:rPr>
        <w:t xml:space="preserve">Min, S., et al. (2023). “FActScore: Fine-grained Atomic Evaluation of Factual Precision in Long Form Text Generation.” EMNLP 2023. Establishes the decompose-into-atomic-claims methodology for fact-checking LLM outputs.</w:t>
      </w:r>
    </w:p>
    <w:p>
      <w:pPr>
        <w:spacing w:after="180"/>
      </w:pPr>
      <w:r>
        <w:rPr>
          <w:rFonts w:ascii="Arial" w:cs="Arial" w:eastAsia="Arial" w:hAnsi="Arial"/>
          <w:b/>
          <w:bCs/>
          <w:color w:val="333333"/>
          <w:sz w:val="22"/>
          <w:szCs w:val="22"/>
        </w:rPr>
        <w:t xml:space="preserve">[3] </w:t>
      </w:r>
      <w:r>
        <w:rPr>
          <w:rFonts w:ascii="Arial" w:cs="Arial" w:eastAsia="Arial" w:hAnsi="Arial"/>
          <w:color w:val="333333"/>
          <w:sz w:val="22"/>
          <w:szCs w:val="22"/>
        </w:rPr>
        <w:t xml:space="preserve">Kim, E.M., Garg, A., Peng, K., and Garg, N. (2025). “Correlated Errors in Large Language Models.” ICML 2025 (poster). Large-scale empirical study of 350+ LLMs finding ~60% error agreement when both models err, with shared architectures, providers, and model scale driving correlation even across distinct model families. Larger and more accurate models exhibit higher error correlation. ArXiv:2506.07962.</w:t>
      </w:r>
    </w:p>
    <w:p>
      <w:pPr>
        <w:spacing w:after="180"/>
      </w:pPr>
      <w:r>
        <w:rPr>
          <w:rFonts w:ascii="Arial" w:cs="Arial" w:eastAsia="Arial" w:hAnsi="Arial"/>
          <w:b/>
          <w:bCs/>
          <w:color w:val="333333"/>
          <w:sz w:val="22"/>
          <w:szCs w:val="22"/>
        </w:rPr>
        <w:t xml:space="preserve">[4] </w:t>
      </w:r>
      <w:r>
        <w:rPr>
          <w:rFonts w:ascii="Arial" w:cs="Arial" w:eastAsia="Arial" w:hAnsi="Arial"/>
          <w:color w:val="333333"/>
          <w:sz w:val="22"/>
          <w:szCs w:val="22"/>
        </w:rPr>
        <w:t xml:space="preserve">Snell, C., et al. (2024). “Scaling LLM Test-Time Compute Optimally Can Be More Effective Than Scaling Model Parameters.” ArXiv preprint. Shows diminishing and sometimes negative returns from iterative refinement, with early passes capturing most value.</w:t>
      </w:r>
    </w:p>
    <w:p>
      <w:pPr>
        <w:spacing w:after="180"/>
      </w:pPr>
      <w:r>
        <w:rPr>
          <w:rFonts w:ascii="Arial" w:cs="Arial" w:eastAsia="Arial" w:hAnsi="Arial"/>
          <w:b/>
          <w:bCs/>
          <w:color w:val="333333"/>
          <w:sz w:val="22"/>
          <w:szCs w:val="22"/>
        </w:rPr>
        <w:t xml:space="preserve">[5] </w:t>
      </w:r>
      <w:r>
        <w:rPr>
          <w:rFonts w:ascii="Arial" w:cs="Arial" w:eastAsia="Arial" w:hAnsi="Arial"/>
          <w:color w:val="333333"/>
          <w:sz w:val="22"/>
          <w:szCs w:val="22"/>
        </w:rPr>
        <w:t xml:space="preserve">Madaan, A., et al. (2023). “Self-Refine: Iterative Refinement with Self-Feedback.” NeurIPS 2023. Demonstrates that self-refine loops improve hard tasks but can degrade performance on easier tasks, supporting the need for adaptive stopping conditions.</w:t>
      </w:r>
    </w:p>
    <w:p>
      <w:pPr>
        <w:spacing w:after="180"/>
      </w:pPr>
      <w:r>
        <w:rPr>
          <w:rFonts w:ascii="Arial" w:cs="Arial" w:eastAsia="Arial" w:hAnsi="Arial"/>
          <w:b/>
          <w:bCs/>
          <w:color w:val="333333"/>
          <w:sz w:val="22"/>
          <w:szCs w:val="22"/>
        </w:rPr>
        <w:t xml:space="preserve">[6] </w:t>
      </w:r>
      <w:r>
        <w:rPr>
          <w:rFonts w:ascii="Arial" w:cs="Arial" w:eastAsia="Arial" w:hAnsi="Arial"/>
          <w:color w:val="333333"/>
          <w:sz w:val="22"/>
          <w:szCs w:val="22"/>
        </w:rPr>
        <w:t xml:space="preserve">Wei, J., et al. (2024). “Long-form factuality in large language models.” Google DeepMind. Extends atomic fact verification to long-form generation, providing a scalable claim decomposition framework.</w:t>
      </w:r>
    </w:p>
    <w:p>
      <w:pPr>
        <w:spacing w:after="180"/>
      </w:pPr>
      <w:r>
        <w:rPr>
          <w:rFonts w:ascii="Arial" w:cs="Arial" w:eastAsia="Arial" w:hAnsi="Arial"/>
          <w:b/>
          <w:bCs/>
          <w:color w:val="333333"/>
          <w:sz w:val="22"/>
          <w:szCs w:val="22"/>
        </w:rPr>
        <w:t xml:space="preserve">[7] </w:t>
      </w:r>
      <w:r>
        <w:rPr>
          <w:rFonts w:ascii="Arial" w:cs="Arial" w:eastAsia="Arial" w:hAnsi="Arial"/>
          <w:color w:val="333333"/>
          <w:sz w:val="22"/>
          <w:szCs w:val="22"/>
        </w:rPr>
        <w:t xml:space="preserve">EU AI Act, Regulation (EU) 2024/1689, Article 17 (Quality Management System) and Article 9 (Risk Management). DORA, Regulation (EU) 2022/2554, Chapter II (ICT Risk Management). Both require documented audit trails for AI-assisted decision processes in regulated sectors.</w:t>
      </w:r>
    </w:p>
    <w:p>
      <w:pPr>
        <w:spacing w:after="180"/>
      </w:pPr>
      <w:r>
        <w:rPr>
          <w:rFonts w:ascii="Arial" w:cs="Arial" w:eastAsia="Arial" w:hAnsi="Arial"/>
          <w:b/>
          <w:bCs/>
          <w:color w:val="333333"/>
          <w:sz w:val="22"/>
          <w:szCs w:val="22"/>
        </w:rPr>
        <w:t xml:space="preserve">[8] </w:t>
      </w:r>
      <w:r>
        <w:rPr>
          <w:rFonts w:ascii="Arial" w:cs="Arial" w:eastAsia="Arial" w:hAnsi="Arial"/>
          <w:color w:val="333333"/>
          <w:sz w:val="22"/>
          <w:szCs w:val="22"/>
        </w:rPr>
        <w:t xml:space="preserve">Pan, A., et al. (2023). “On the Risk of Misinformation Pollution with Large Language Models.” EMNLP Findings 2023. Demonstrates that adversarially crafted misinformation can achieve high pass rates across multiple LLM-based fact-checkers.</w:t>
      </w:r>
    </w:p>
    <w:p>
      <w:pPr>
        <w:spacing w:after="180"/>
      </w:pPr>
      <w:r>
        <w:rPr>
          <w:rFonts w:ascii="Arial" w:cs="Arial" w:eastAsia="Arial" w:hAnsi="Arial"/>
          <w:b/>
          <w:bCs/>
          <w:color w:val="333333"/>
          <w:sz w:val="22"/>
          <w:szCs w:val="22"/>
        </w:rPr>
        <w:t xml:space="preserve">[9] </w:t>
      </w:r>
      <w:r>
        <w:rPr>
          <w:rFonts w:ascii="Arial" w:cs="Arial" w:eastAsia="Arial" w:hAnsi="Arial"/>
          <w:color w:val="333333"/>
          <w:sz w:val="22"/>
          <w:szCs w:val="22"/>
        </w:rPr>
        <w:t xml:space="preserve">Denisov-Blanch, Y., Kazdan, J., Chudnovsky, J., Schaeffer, R., Guan, S., Adeshina, S., and Koyejo, S. (2026). “Consensus is Not Verification: Why Crowd Wisdom Strategies Fail for LLM Truthfulness.” ArXiv:2603.06612. Shows that correlated errors impose a structural ceiling on polling and consensus-based verification, with self-reported confidence failing to distinguish correct from incorrect answers even across inter-model ensembles.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pPr>
    <w:r>
      <w:rPr>
        <w:rFonts w:ascii="Arial" w:cs="Arial" w:eastAsia="Arial" w:hAnsi="Arial"/>
        <w:color w:val="666666"/>
        <w:sz w:val="16"/>
        <w:szCs w:val="16"/>
      </w:rPr>
      <w:t xml:space="preserve">© 2026 Sigmantics AB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8"/>
        <w:szCs w:val="18"/>
      </w:rPr>
      <w:t xml:space="preserve">Sigmantics AB</w:t>
    </w:r>
    <w:r>
      <w:rPr>
        <w:rFonts w:ascii="Arial" w:cs="Arial" w:eastAsia="Arial" w:hAnsi="Arial"/>
      </w:rPr>
      <w:t xml:space="preserve">	</w:t>
    </w:r>
    <w:r>
      <w:rPr>
        <w:rFonts w:ascii="Arial" w:cs="Arial" w:eastAsia="Arial" w:hAnsi="Arial"/>
        <w:color w:val="666666"/>
        <w:sz w:val="18"/>
        <w:szCs w:val="18"/>
      </w:rPr>
      <w:t xml:space="preserve">Technical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 w:numId="6">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2026-03-31T09:50:02.976Z</dcterms:created>
  <dcterms:modified xsi:type="dcterms:W3CDTF">2026-03-31T09:50:02.977Z</dcterms:modified>
</cp:coreProperties>
</file>

<file path=docProps/custom.xml><?xml version="1.0" encoding="utf-8"?>
<Properties xmlns="http://schemas.openxmlformats.org/officeDocument/2006/custom-properties" xmlns:vt="http://schemas.openxmlformats.org/officeDocument/2006/docPropsVTypes"/>
</file>