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48"/>
          <w:szCs w:val="48"/>
        </w:rPr>
        <w:t xml:space="preserve">mcfeedback</w:t>
      </w:r>
    </w:p>
    <w:p>
      <w:pPr>
        <w:spacing w:after="40"/>
        <w:jc w:val="center"/>
      </w:pPr>
      <w:r>
        <w:rPr>
          <w:rFonts w:ascii="Arial" w:cs="Arial" w:eastAsia="Arial" w:hAnsi="Arial"/>
          <w:color w:val="666666"/>
          <w:sz w:val="28"/>
          <w:szCs w:val="28"/>
        </w:rPr>
        <w:t xml:space="preserve">Murray-Claude Feedback Algorithm</w:t>
      </w:r>
    </w:p>
    <w:p>
      <w:pPr>
        <w:spacing w:after="200"/>
        <w:jc w:val="center"/>
      </w:pPr>
      <w:r>
        <w:rPr>
          <w:rFonts w:ascii="Arial" w:cs="Arial" w:eastAsia="Arial" w:hAnsi="Arial"/>
          <w:color w:val="999999"/>
          <w:sz w:val="22"/>
          <w:szCs w:val="22"/>
        </w:rPr>
        <w:t xml:space="preserve">Phase 1 Research Journal — Experiments 1–14</w:t>
      </w:r>
    </w:p>
    <w:p>
      <w:pPr>
        <w:spacing w:after="40"/>
        <w:jc w:val="center"/>
      </w:pPr>
      <w:r>
        <w:rPr>
          <w:rFonts w:ascii="Arial" w:cs="Arial" w:eastAsia="Arial" w:hAnsi="Arial"/>
          <w:color w:val="999999"/>
          <w:sz w:val="20"/>
          <w:szCs w:val="20"/>
        </w:rPr>
        <w:t xml:space="preserve">February 2026</w:t>
      </w:r>
    </w:p>
    <w:p>
      <w:pPr>
        <w:spacing w:after="400"/>
        <w:jc w:val="center"/>
      </w:pPr>
      <w:r>
        <w:rPr>
          <w:rFonts w:ascii="Arial" w:cs="Arial" w:eastAsia="Arial" w:hAnsi="Arial"/>
          <w:i/>
          <w:iCs/>
          <w:color w:val="999999"/>
          <w:sz w:val="20"/>
          <w:szCs w:val="20"/>
        </w:rPr>
        <w:t xml:space="preserve">Murray &amp; Claude</w:t>
      </w:r>
    </w:p>
    <w:p>
      <w:pPr>
        <w:pStyle w:val="Heading1"/>
      </w:pPr>
      <w:r>
        <w:t xml:space="preserve">Architecture</w:t>
      </w:r>
    </w:p>
    <w:p>
      <w:pPr>
        <w:spacing w:after="120" w:line="276"/>
      </w:pPr>
      <w:r>
        <w:rPr>
          <w:rFonts w:ascii="Arial" w:cs="Arial" w:eastAsia="Arial" w:hAnsi="Arial"/>
          <w:sz w:val="21"/>
          <w:szCs w:val="21"/>
        </w:rPr>
        <w:t xml:space="preserve">mcfeedback implements biologically-plausible learning without backpropagation. Synapses learn using only local signals: eligibility traces, chemical diffusion from modulatory neurons, and an ambient spatial field. There are no global gradients.</w:t>
      </w:r>
    </w:p>
    <w:p>
      <w:pPr>
        <w:pStyle w:val="Heading3"/>
      </w:pPr>
      <w:r>
        <w:t xml:space="preserve">Network topology</w:t>
      </w:r>
    </w:p>
    <w:p>
      <w:pPr>
        <w:spacing w:after="120" w:line="276"/>
      </w:pPr>
      <w:r>
        <w:rPr>
          <w:rFonts w:ascii="Arial" w:cs="Arial" w:eastAsia="Arial" w:hAnsi="Arial"/>
          <w:sz w:val="21"/>
          <w:szCs w:val="21"/>
        </w:rPr>
        <w:t xml:space="preserve">Two recurrent clusters of 30 neurons each (60 total). Each cluster contains 5 special-role neurons (input or output), 2 modulatory neurons, and 23 regular neurons. This is not a layered feedforward network — it is a recurrent soup with probabilistic all-to-all connectivity. Intra-cluster connection probability: 60%. Inter-cluster: 50%. No self-loops. Single forward propagation pass per training step (signals travel exactly one hop).</w:t>
      </w:r>
    </w:p>
    <w:p>
      <w:pPr>
        <w:pStyle w:val="Heading3"/>
      </w:pPr>
      <w:r>
        <w:t xml:space="preserve">Task</w:t>
      </w:r>
    </w:p>
    <w:p>
      <w:pPr>
        <w:spacing w:after="120" w:line="276"/>
      </w:pPr>
      <w:r>
        <w:rPr>
          <w:rFonts w:ascii="Arial" w:cs="Arial" w:eastAsia="Arial" w:hAnsi="Arial"/>
          <w:sz w:val="21"/>
          <w:szCs w:val="21"/>
        </w:rPr>
        <w:t xml:space="preserve">Learn 4 binary inversion patterns with 5 input and 5 output neurons. P1: [1,0,1,0,1]→[0,1,0,1,0]. P2: [1,1,0,0,1]→[0,0,1,1,0]. P3: [0,1,1,0,0]→[1,0,0,1,1]. P4: [0,1,0,1,0]→[1,0,1,0,1]. Note: P1 and P4 are exact inverses of each other. Random chance = 50%.</w:t>
      </w:r>
    </w:p>
    <w:p>
      <w:pPr>
        <w:pStyle w:val="Heading3"/>
      </w:pPr>
      <w:r>
        <w:t xml:space="preserve">Three learning mechanisms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Eligibility traces (four-quadrant flagging):</w:t>
      </w:r>
      <w:r>
        <w:rPr>
          <w:rFonts w:ascii="Arial" w:cs="Arial" w:eastAsia="Arial" w:hAnsi="Arial"/>
          <w:sz w:val="21"/>
          <w:szCs w:val="21"/>
        </w:rPr>
        <w:t xml:space="preserve"> Co-activation of pre and post neurons → positive trace. Mismatch (one fires, other doesn’t) → negative trace. Co-silence in an active area → weak positive. Irrelevant silence → zero.</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Chemical diffusion:</w:t>
      </w:r>
      <w:r>
        <w:rPr>
          <w:rFonts w:ascii="Arial" w:cs="Arial" w:eastAsia="Arial" w:hAnsi="Arial"/>
          <w:sz w:val="21"/>
          <w:szCs w:val="21"/>
        </w:rPr>
        <w:t xml:space="preserve"> Modulatory neurons broadcast reward/punishment spatially with 1/distance falloff. Radius: 15 units (spans both clusters in Full model). The chemical level modulates the magnitude of weight updates.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Dampening filters:</w:t>
      </w:r>
      <w:r>
        <w:rPr>
          <w:rFonts w:ascii="Arial" w:cs="Arial" w:eastAsia="Arial" w:hAnsi="Arial"/>
          <w:sz w:val="21"/>
          <w:szCs w:val="21"/>
        </w:rPr>
        <w:t xml:space="preserve"> Activity history tracking, information dampening (inverted-U response peaking at target fire rate), and ambient relevance field (3-unit radius, intra-cluster only).</w:t>
      </w:r>
    </w:p>
    <w:p>
      <w:pPr>
        <w:pStyle w:val="Heading3"/>
      </w:pPr>
      <w:r>
        <w:t xml:space="preserve">Four experimental conditions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Baseline:</w:t>
      </w:r>
      <w:r>
        <w:rPr>
          <w:rFonts w:ascii="Arial" w:cs="Arial" w:eastAsia="Arial" w:hAnsi="Arial"/>
          <w:sz w:val="21"/>
          <w:szCs w:val="21"/>
        </w:rPr>
        <w:t xml:space="preserve"> Global chemical (constant dose everywhere), no ambient field, no dampening. </w:t>
      </w:r>
      <w:r>
        <w:rPr>
          <w:rFonts w:ascii="Arial" w:cs="Arial" w:eastAsia="Arial" w:hAnsi="Arial"/>
          <w:b/>
          <w:bCs/>
          <w:sz w:val="21"/>
          <w:szCs w:val="21"/>
        </w:rPr>
        <w:t xml:space="preserve">Ambient only:</w:t>
      </w:r>
      <w:r>
        <w:rPr>
          <w:rFonts w:ascii="Arial" w:cs="Arial" w:eastAsia="Arial" w:hAnsi="Arial"/>
          <w:sz w:val="21"/>
          <w:szCs w:val="21"/>
        </w:rPr>
        <w:t xml:space="preserve"> Adds spatial ambient field. </w:t>
      </w:r>
      <w:r>
        <w:rPr>
          <w:rFonts w:ascii="Arial" w:cs="Arial" w:eastAsia="Arial" w:hAnsi="Arial"/>
          <w:b/>
          <w:bCs/>
          <w:sz w:val="21"/>
          <w:szCs w:val="21"/>
        </w:rPr>
        <w:t xml:space="preserve">Dampening only:</w:t>
      </w:r>
      <w:r>
        <w:rPr>
          <w:rFonts w:ascii="Arial" w:cs="Arial" w:eastAsia="Arial" w:hAnsi="Arial"/>
          <w:sz w:val="21"/>
          <w:szCs w:val="21"/>
        </w:rPr>
        <w:t xml:space="preserve"> Adds activity-based dampening filters. </w:t>
      </w:r>
      <w:r>
        <w:rPr>
          <w:rFonts w:ascii="Arial" w:cs="Arial" w:eastAsia="Arial" w:hAnsi="Arial"/>
          <w:b/>
          <w:bCs/>
          <w:sz w:val="21"/>
          <w:szCs w:val="21"/>
        </w:rPr>
        <w:t xml:space="preserve">Full model:</w:t>
      </w:r>
      <w:r>
        <w:rPr>
          <w:rFonts w:ascii="Arial" w:cs="Arial" w:eastAsia="Arial" w:hAnsi="Arial"/>
          <w:sz w:val="21"/>
          <w:szCs w:val="21"/>
        </w:rPr>
        <w:t xml:space="preserve"> All mechanisms active with local chemical diffusion.</w:t>
      </w:r>
    </w:p>
    <w:p>
      <w:pPr>
        <w:pStyle w:val="Heading3"/>
      </w:pPr>
      <w:r>
        <w:t xml:space="preserve">Evaluation protocol</w:t>
      </w:r>
    </w:p>
    <w:p>
      <w:pPr>
        <w:spacing w:after="120" w:line="276"/>
      </w:pPr>
      <w:r>
        <w:rPr>
          <w:rFonts w:ascii="Arial" w:cs="Arial" w:eastAsia="Arial" w:hAnsi="Arial"/>
          <w:sz w:val="21"/>
          <w:szCs w:val="21"/>
        </w:rPr>
        <w:t xml:space="preserve">Frozen-weight evaluation established from iteration 2 onward. After training, weights are frozen and a forward pass with no learning produces the accuracy measurement. This prevents inflated scores from eval-during-learning artifacts. 10 seeds (42, 137, 271, 314, 500, 618, 777, 888, 999, 1234), 1000 training episodes per run unless noted.</w:t>
      </w:r>
    </w:p>
    <w:p>
      <w:r>
        <w:br w:type="page"/>
      </w:r>
    </w:p>
    <w:p>
      <w:pPr>
        <w:pStyle w:val="Heading1"/>
      </w:pPr>
      <w:r>
        <w:t xml:space="preserve">Experiments</w:t>
      </w:r>
    </w:p>
    <w:p>
      <w:pPr>
        <w:pStyle w:val="Heading2"/>
      </w:pPr>
      <w:r>
        <w:t xml:space="preserve">Iteration 1 — Baseline multi-seed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Establish baseline performance across all four conditions with proper statistical power (N=10 seeds).</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45.5% ± 5.0% (p=0.006, significantly worse than Baseline at 53.5%). Training-time accuracy of ~80% was an artifact of eval-during-learning.</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No learning detected. Dampening actively harmful. Led to frozen-weight evaluation protocol.</w:t>
            </w:r>
          </w:p>
        </w:tc>
      </w:tr>
    </w:tbl>
    <w:p>
      <w:pPr>
        <w:spacing w:after="60"/>
      </w:pPr>
    </w:p>
    <w:p>
      <w:pPr>
        <w:pStyle w:val="Heading2"/>
      </w:pPr>
      <w:r>
        <w:t xml:space="preserve">Iteration 3 — Flipped eligibility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Test whether inversion task requires anti-Hebbian learning. Flip coActivation from +1 to −1 and mismatch from −0.5 to +0.5.</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46.0% ± 3.2%. Variance collapsed — 9/10 seeds locked at exactly 45%. Per-pattern analysis showed flags homogenizing outputs rather than differentiating them.</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Sign flip erased information rather than enhancing it. Flags are making things more uniform, not more selective.</w:t>
            </w:r>
          </w:p>
        </w:tc>
      </w:tr>
    </w:tbl>
    <w:p>
      <w:pPr>
        <w:spacing w:after="60"/>
      </w:pPr>
    </w:p>
    <w:p>
      <w:pPr>
        <w:pStyle w:val="Heading2"/>
      </w:pPr>
      <w:r>
        <w:t xml:space="preserve">Iteration 4 — Flag gate (strengthen/decay)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Add flag persistence: flags must accumulate over consecutive turns (gain=0.3, decay=0.7, threshold=0.5) before gating weight updates. ~2 consistent turns required to latch.</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53.0% ± 9.2%, max 65% (3 seeds). Bimodal: seeds 42–500 stall at 45%, seeds 888–1234 reach 55–65%. First above-chance results.</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First meaningful progress. Flag persistence broke the 45% attractor for some seeds. Became the reference configuration for all subsequent experiments.</w:t>
            </w:r>
          </w:p>
        </w:tc>
      </w:tr>
    </w:tbl>
    <w:p>
      <w:pPr>
        <w:spacing w:after="60"/>
      </w:pPr>
    </w:p>
    <w:p>
      <w:pPr>
        <w:pStyle w:val="Heading2"/>
      </w:pPr>
      <w:r>
        <w:t xml:space="preserve">Iteration 5 — Squared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Squash reward signal near 50% accuracy toward zero, making fixed-output strategies break even. rewardExponent=2.0 so 55% accuracy → reward 0.01 instead of 0.10.</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45.0% ± 8.2% (p=0.03, significantly worse). The squared reward starved early learning signal — a network at 60% gets reward 0.04 instead of 0.20, not enough to bootstrap.</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Hypothesis rejected. Squared reward suppresses everything near 50%, including genuine early improvement. Flag gate + squared reward form a deadlock: both need signal to bootstrap.</w:t>
            </w:r>
          </w:p>
        </w:tc>
      </w:tr>
    </w:tbl>
    <w:p>
      <w:pPr>
        <w:spacing w:after="60"/>
      </w:pPr>
    </w:p>
    <w:p>
      <w:pPr>
        <w:pStyle w:val="Heading2"/>
      </w:pPr>
      <w:r>
        <w:t xml:space="preserve">Iteration 6 — Reward annealing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Smooth blend from linear to squared reward over training. Linear ep 0–349, blend ep 350–700, pure squared ep 700+.</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51.0% ± 10.7%. Same 3 seeds succeed, same 7 fail. Worst variance yet. Partial recovery vs iter 5 but no improvement over iter 4.</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Reward shape is not the bottleneck. Three experiments (linear, squared, annealed) all produce the same seed-dependent success pattern. The problem is upstream of reward.</w:t>
            </w:r>
          </w:p>
        </w:tc>
      </w:tr>
    </w:tbl>
    <w:p>
      <w:pPr>
        <w:spacing w:after="60"/>
      </w:pPr>
    </w:p>
    <w:p>
      <w:pPr>
        <w:pStyle w:val="Heading2"/>
      </w:pPr>
      <w:r>
        <w:t xml:space="preserve">Iteration 7 — Connectivity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Measure structural differences between succeeding and failing seeds: direct I→O connections, 2-hop paths, fan-out/fan-in, chemical dose budget, modulatory neuron distance.</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Clean null result. All metrics overlap completely between good and poor seeds. Direct I→O: 13.6 vs 12.2 (noise). Chemical dose: 1.13 vs 1.16 (negligible). 2-hop paths: 344 vs 349.</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The failure mode is not structural. Network wiring is statistically identical across seeds. The divergence must emerge from early training dynamics, not topology.</w:t>
            </w:r>
          </w:p>
        </w:tc>
      </w:tr>
    </w:tbl>
    <w:p>
      <w:pPr>
        <w:spacing w:after="60"/>
      </w:pPr>
    </w:p>
    <w:p>
      <w:pPr>
        <w:pStyle w:val="Heading2"/>
      </w:pPr>
      <w:r>
        <w:t xml:space="preserve">Iteration 8 — Flag strength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Log flag strength at episodes 100, 300, 500. Prediction: good seeds latch flags early, poor seeds don’t.</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Prediction was wrong. Both groups have 87–95% of flags latched by episode 100 with mean |flagStrength| ≈ 0.93. Groups are statistically indistinguishable.</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Flags are saturated, not selective. With gain=0.3, any synapse seeing two consecutive non-zero traces latches. The gate opens for 90%+ of synapses uniformly — it provides no discrimination.</w:t>
            </w:r>
          </w:p>
        </w:tc>
      </w:tr>
    </w:tbl>
    <w:p>
      <w:pPr>
        <w:spacing w:after="60"/>
      </w:pPr>
    </w:p>
    <w:p>
      <w:pPr>
        <w:pStyle w:val="Heading2"/>
      </w:pPr>
      <w:r>
        <w:t xml:space="preserve">Iteration 9 — Flag gate warmup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Bypass flag gate for first 200 episodes (all synapses learn freely), then activate normal gating.</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45.5% ± 5.0% (p&lt;0.01, significantly worse). Variance collapsed to ±5% — network finds the same poor attractor on every seed.</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Unfiltered early learning commits to bad fixed-output weights. Flags then lock in those bad weights. Opening the gate early is the problem, not the cure.</w:t>
            </w:r>
          </w:p>
        </w:tc>
      </w:tr>
    </w:tbl>
    <w:p>
      <w:pPr>
        <w:spacing w:after="60"/>
      </w:pPr>
    </w:p>
    <w:p>
      <w:r>
        <w:br w:type="page"/>
      </w:r>
    </w:p>
    <w:p>
      <w:pPr>
        <w:pStyle w:val="Heading2"/>
      </w:pPr>
      <w:r>
        <w:t xml:space="preserve">Iteration 10 — Direction-consistent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Replace simple flag accumulation with a consistency detector. Track consecutive same-sign traces (threshold=5), sharp penalty on direction flip (0.5×), slower gain (0.15).</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49.0% ± 7.0% (p&lt;0.05 worse). Latch rates dropped to 68–93% (from 90%+). Seeds with lower latch rates (42, 1234) performed better, but 8/10 seeds still saturated at 86–93%.</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Partial success on selectivity — mechanism correctly identifies that lower saturation correlates with better performance. But the task dynamics still satisfy the 5-turn streak requirement trivially for most synapses.</w:t>
            </w:r>
          </w:p>
        </w:tc>
      </w:tr>
    </w:tbl>
    <w:p>
      <w:pPr>
        <w:spacing w:after="60"/>
      </w:pPr>
    </w:p>
    <w:p>
      <w:pPr>
        <w:pStyle w:val="Heading2"/>
      </w:pPr>
      <w:r>
        <w:t xml:space="preserve">Iteration 10b — Propagation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Run 3 accumulate-and-fire cycles per training step so signals can travel multiple hops through the recurrent graph.</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46.5% ± 6.7% (p&lt;0.01). Flag saturation finally broken (25–81%), but accuracy worse. Seed 888 (33% latch, 65% acc) confirms low saturation helps, but 9 other seeds still fail.</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Propagation cycles successfully broke flag saturation but introduced noise through compound signal amplification. Also discovered: homeostasis runs 3× per episode inside the loop — an implementation issue to fix.</w:t>
            </w:r>
          </w:p>
        </w:tc>
      </w:tr>
    </w:tbl>
    <w:p>
      <w:pPr>
        <w:spacing w:after="60"/>
      </w:pPr>
    </w:p>
    <w:p>
      <w:pPr>
        <w:pStyle w:val="Heading2"/>
      </w:pPr>
      <w:r>
        <w:t xml:space="preserve">Iteration 11 — Synapse frustration flip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Per-synapse frustration detection: track same-direction weight movement and average chemical. After 30 consecutive same-direction steps with negative reward, partially reverse the weight.</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48.0% ± 4.8% (p&lt;0.01). Mechanism is all-or-nothing: 8/10 seeds had zero flips, 2/10 had every synapse flip (cascade). Key finding: 6/10 seeds have mean |weight| &lt; 0.28 — barely moved from initialization.</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Cascade problem: one flip destabilizes neighbors, triggering chain reaction. But the real discovery was weight starvation — most synapses decay faster than they learn. Weight decay (0.005/step) exceeds typical learning delta (0.001/step).</w:t>
            </w:r>
          </w:p>
        </w:tc>
      </w:tr>
    </w:tbl>
    <w:p>
      <w:pPr>
        <w:spacing w:after="60"/>
      </w:pPr>
    </w:p>
    <w:p>
      <w:pPr>
        <w:pStyle w:val="Heading2"/>
      </w:pPr>
      <w:r>
        <w:t xml:space="preserve">Iteration 12 — Learning/decay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Three sub-experiments: (a) double learning rate, (b) halve weight decay, (c) both. Test whether weight starvation is the fundamental bottleneck.</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012b (0.5× weight decay): 55.0% ± 0.0% — ALL 10 seeds at 55%. First time 100% seed coverage achieved. Mean |weight| jumped from 0.30 to 0.79. 012c (both changes): same accuracy, |weight|=1.44.</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Weight starvation was the core problem all along. One parameter change solved what 8 experiments of mechanism tuning couldn’t. New ceiling at 55% is structural: network learns 3/4 patterns (P2–P4 at 60%) but systematically fails P1 (40%), because P1 and P4 are exact inverses sharing the same synapses.</w:t>
            </w:r>
          </w:p>
        </w:tc>
      </w:tr>
    </w:tbl>
    <w:p>
      <w:pPr>
        <w:spacing w:after="60"/>
      </w:pPr>
    </w:p>
    <w:p>
      <w:pPr>
        <w:pStyle w:val="Heading2"/>
      </w:pPr>
      <w:r>
        <w:t xml:space="preserve">Iteration 13 — 012b + propagation cycles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Combine the weight decay fix with propagationCycles=3 to enable multi-hop signal flow, potentially breaking the 55% ceiling through hidden representations.</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45.0% ± 0.0% — complete collapse, 0/10 seeds above 45%. Mean |weight| dropped to 0.35. Per-pattern bias flipped: P1=60%, P2–P4=40% (mirror of 012b).</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Threshold homeostasis runs inside the propagation loop, so 3 cycles = 3× homeostasis speed. This drives the network to the wrong attractor. Identified engine bug: regulateThreshold() must be moved outside the propagation loop.</w:t>
            </w:r>
          </w:p>
        </w:tc>
      </w:tr>
    </w:tbl>
    <w:p>
      <w:pPr>
        <w:spacing w:after="60"/>
      </w:pPr>
    </w:p>
    <w:p>
      <w:pPr>
        <w:pStyle w:val="Heading2"/>
      </w:pPr>
      <w:r>
        <w:t xml:space="preserve">Iteration 13 (fixed) — 012b + propagation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Same as iter 13 but with engine fix: stat updates and regulateThreshold() moved outside the propagation loop, running exactly once per episode regardless of propagationCycles.</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52.0% ± 4.8%, 7/10 seeds at 55%. Mean |weight| recovered to 0.77 (from 0.35 broken). Engine fix confirmed. But 3 seeds stuck in alternative 45% attractors. Per-pattern: same P1=40%, P2–P4=60% split as 012b.</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Propagation cycles don’t help even with correct implementation. Multi-hop signals through random recurrent wiring add noise, not structure. The regular neurons aren’t forming useful intermediate representations. 012b (single propagation) remains superior at 10/10.</w:t>
            </w:r>
          </w:p>
        </w:tc>
      </w:tr>
    </w:tbl>
    <w:p>
      <w:pPr>
        <w:spacing w:after="60"/>
      </w:pPr>
    </w:p>
    <w:p>
      <w:pPr>
        <w:pStyle w:val="Heading2"/>
      </w:pPr>
      <w:r>
        <w:t xml:space="preserve">Iteration 14 — Hidden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Add a dedicated third cluster of neurons between input and output clusters to provide explicit representational capacity for disambiguating P1 from P4.</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55.0%, 9/10 seeds at 55% (seed 137 stuck). Per-pattern breakdown identical to 012b: P1≈40%, P2–P4≈60%. Mean |weight|=0.84, slightly higher than 012b. Seed 1234 (weight-starved in iter 13) recovers.</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The hidden cluster adds capacity but the learning rule cannot exploit it. The 55% ceiling is not a capacity limitation — it’s a credit assignment problem. The broadcast chemical cannot tell individual synapses whether they are contributing to the P1 failure or the P2–P4 success.</w:t>
            </w:r>
          </w:p>
        </w:tc>
      </w:tr>
    </w:tbl>
    <w:p>
      <w:pPr>
        <w:spacing w:after="60"/>
      </w:pPr>
    </w:p>
    <w:p>
      <w:r>
        <w:br w:type="page"/>
      </w:r>
    </w:p>
    <w:p>
      <w:pPr>
        <w:pStyle w:val="Heading1"/>
      </w:pPr>
      <w:r>
        <w:t xml:space="preserve">Progress summary</w:t>
      </w:r>
    </w:p>
    <w:p>
      <w:pPr>
        <w:spacing w:after="120" w:line="276"/>
      </w:pPr>
      <w:r>
        <w:rPr>
          <w:rFonts w:ascii="Arial" w:cs="Arial" w:eastAsia="Arial" w:hAnsi="Arial"/>
          <w:sz w:val="21"/>
          <w:szCs w:val="21"/>
        </w:rPr>
        <w:t xml:space="preserve">Full model mean accuracy and key observations across all iterations: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100"/>
        <w:gridCol w:w="900"/>
        <w:gridCol w:w="3660"/>
      </w:tblGrid>
      <w:tr>
        <w:tc>
          <w:tcPr>
            <w:tcW w:type="dxa" w:w="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Iter</w:t>
            </w:r>
          </w:p>
        </w:tc>
        <w:tc>
          <w:tcPr>
            <w:tcW w:type="dxa" w:w="2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Change</w:t>
            </w:r>
          </w:p>
        </w:tc>
        <w:tc>
          <w:tcPr>
            <w:tcW w:type="dxa" w:w="1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Mean</w:t>
            </w:r>
          </w:p>
        </w:tc>
        <w:tc>
          <w:tcPr>
            <w:tcW w:type="dxa" w:w="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Max</w:t>
            </w:r>
          </w:p>
        </w:tc>
        <w:tc>
          <w:tcPr>
            <w:tcW w:type="dxa" w:w="36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Original flags, linear reward</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45.5%</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6/10 fail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3</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Flipped eligibility signs</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46.0%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change</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4</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Flag gate (strengthen/decay)</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53.0%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3/10 escape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Squared reward</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Regression</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6</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Reward annealing</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51.0%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Partial recovery</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7</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Connectivity diagnostic</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Null: structure not the cause</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8</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Flag strength diagnostic</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Flags saturated at 90%+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9</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Flag gate warmup</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45.5%</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Worse (p&lt;0.01)</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10</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Direction-consistent flags</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49.0%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Partial signal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10b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 propagationCycles=3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46.5%</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Broke saturation, added noise</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11</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Synapse frustration flip</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48.0%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Cascade problem</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12b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 weight decay</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10/10 seeds ✓</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12c</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2× LR + 0.5× WD</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10/10 seeds ✓</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13</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012b + propagationCycles=3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Homeostasis bug (broken)</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13fix</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Engine fix + propagationCycles=3</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52.0%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7/10 seeds, cycles don’t help</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Hidden cluster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9/10 seeds, ceiling unchanged</w:t>
            </w:r>
          </w:p>
        </w:tc>
      </w:tr>
    </w:tbl>
    <w:p>
      <w:pPr>
        <w:spacing w:after="60"/>
      </w:pPr>
    </w:p>
    <w:p>
      <w:pPr>
        <w:pStyle w:val="Heading1"/>
      </w:pPr>
      <w:r>
        <w:t xml:space="preserve">Key findings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1. Weight starvation was the fundamental bottleneck.</w:t>
      </w:r>
      <w:r>
        <w:rPr>
          <w:rFonts w:ascii="Arial" w:cs="Arial" w:eastAsia="Arial" w:hAnsi="Arial"/>
          <w:sz w:val="21"/>
          <w:szCs w:val="21"/>
        </w:rPr>
        <w:t xml:space="preserve"> For 11 experiments, we tuned flags, reward shaping, and gating mechanisms while the real problem was arithmetic: weight decay outpaced learning by 5× for typical synapses. Halving weight decay (iter 12) solved what no mechanism change could.</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2. The 55% ceiling is a credit assignment problem, not a capacity limit.</w:t>
      </w:r>
      <w:r>
        <w:rPr>
          <w:rFonts w:ascii="Arial" w:cs="Arial" w:eastAsia="Arial" w:hAnsi="Arial"/>
          <w:sz w:val="21"/>
          <w:szCs w:val="21"/>
        </w:rPr>
        <w:t xml:space="preserve"> The network consistently learns 3/4 patterns and sacrifices P1. Adding a hidden cluster (iter 14), propagation cycles (iter 13), and various flag mechanisms all converge on the same attractor. The broadcast chemical gives every synapse the same scalar reward, so synapses causing the P1 failure receive the same positive signal as synapses succeeding on P2–P4. No synapse can determine whether it is part of the problem or the solution.</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3. Flag saturation is real but secondary.</w:t>
      </w:r>
      <w:r>
        <w:rPr>
          <w:rFonts w:ascii="Arial" w:cs="Arial" w:eastAsia="Arial" w:hAnsi="Arial"/>
          <w:sz w:val="21"/>
          <w:szCs w:val="21"/>
        </w:rPr>
        <w:t xml:space="preserve"> The flag gate latches 90%+ of synapses within 100 episodes regardless of seed. Direction-consistent flagging and propagation cycles can reduce this, but lower saturation alone doesn’t improve accuracy.</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4. Diagnostic experiments are as valuable as mechanism changes.</w:t>
      </w:r>
      <w:r>
        <w:rPr>
          <w:rFonts w:ascii="Arial" w:cs="Arial" w:eastAsia="Arial" w:hAnsi="Arial"/>
          <w:sz w:val="21"/>
          <w:szCs w:val="21"/>
        </w:rPr>
        <w:t xml:space="preserve"> The connectivity diagnostic (iter 7), flag strength diagnostic (iter 8), weight magnitude analysis (iter 11), and hidden cluster test (iter 14) each ruled out entire hypothesis branches and redirected effort productively.</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5. Implementation details dominate.</w:t>
      </w:r>
      <w:r>
        <w:rPr>
          <w:rFonts w:ascii="Arial" w:cs="Arial" w:eastAsia="Arial" w:hAnsi="Arial"/>
          <w:sz w:val="21"/>
          <w:szCs w:val="21"/>
        </w:rPr>
        <w:t xml:space="preserve"> Homeostasis running inside the propagation loop (iter 13), eval-during-learning artifacts (iter 1), and the learning/decay ratio (iter 12) had larger effects than any novel mechanism. Getting the basics right matters more than adding complexity.</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6. More capacity does not help without better credit assignment.</w:t>
      </w:r>
      <w:r>
        <w:rPr>
          <w:rFonts w:ascii="Arial" w:cs="Arial" w:eastAsia="Arial" w:hAnsi="Arial"/>
          <w:sz w:val="21"/>
          <w:szCs w:val="21"/>
        </w:rPr>
        <w:t xml:space="preserve"> The hidden cluster (iter 14) provides representational capacity for P1/P4 disambiguation, but the learning rule has no way to route error signal to the right synapses. This is the fundamental limitation of broadcast reward with local learning.</w:t>
      </w:r>
    </w:p>
    <w:p>
      <w:pPr>
        <w:spacing w:after="60"/>
      </w:pPr>
    </w:p>
    <w:p>
      <w:pPr>
        <w:pStyle w:val="Heading1"/>
      </w:pPr>
      <w:r>
        <w:t xml:space="preserve">Next steps — Phase 2</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1. Per-output error signals.</w:t>
      </w:r>
      <w:r>
        <w:rPr>
          <w:rFonts w:ascii="Arial" w:cs="Arial" w:eastAsia="Arial" w:hAnsi="Arial"/>
          <w:sz w:val="21"/>
          <w:szCs w:val="21"/>
        </w:rPr>
        <w:t xml:space="preserve"> Replace the single broadcast chemical with per-output-neuron local chemicals. Each output neuron emits its own “I was right/wrong” signal that diffuses only to synapses terminating at that neuron. This is still entirely local but carries richer credit assignment information. Biologically analogous to spatially structured dopaminergic projections.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2. Curriculum weighting.</w:t>
      </w:r>
      <w:r>
        <w:rPr>
          <w:rFonts w:ascii="Arial" w:cs="Arial" w:eastAsia="Arial" w:hAnsi="Arial"/>
          <w:sz w:val="21"/>
          <w:szCs w:val="21"/>
        </w:rPr>
        <w:t xml:space="preserve"> Present P1 more frequently or weight its loss higher. This is the simplest direct attack on the P1/P4 conflict within the current architecture, though it is task-specific rather than general.</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3. Genetic algorithm for architecture search.</w:t>
      </w:r>
      <w:r>
        <w:rPr>
          <w:rFonts w:ascii="Arial" w:cs="Arial" w:eastAsia="Arial" w:hAnsi="Arial"/>
          <w:sz w:val="21"/>
          <w:szCs w:val="21"/>
        </w:rPr>
        <w:t xml:space="preserve"> Evolution optimizes structural priors (cluster count, spacing, connectivity, modulatory placement, learning rate, decay); mcfeedback learns within each configuration. This replaces manual parameter tuning with systematic exploration of the fitness landscape.</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4. Longer training.</w:t>
      </w:r>
      <w:r>
        <w:rPr>
          <w:rFonts w:ascii="Arial" w:cs="Arial" w:eastAsia="Arial" w:hAnsi="Arial"/>
          <w:sz w:val="21"/>
          <w:szCs w:val="21"/>
        </w:rPr>
        <w:t xml:space="preserve"> Run 012b for 5000–10000 episodes to confirm whether the 55% ceiling is a convergence limit or truly structural.</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5. Structured inter-cluster wiring.</w:t>
      </w:r>
      <w:r>
        <w:rPr>
          <w:rFonts w:ascii="Arial" w:cs="Arial" w:eastAsia="Arial" w:hAnsi="Arial"/>
          <w:sz w:val="21"/>
          <w:szCs w:val="21"/>
        </w:rPr>
        <w:t xml:space="preserve"> Replace random inter-cluster connectivity with topographic mapping. Biology doesn’t wire long-range connections randomly — axons follow genetically determined routes to target regions.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Current best configuration:</w:t>
      </w:r>
      <w:r>
        <w:rPr>
          <w:rFonts w:ascii="Arial" w:cs="Arial" w:eastAsia="Arial" w:hAnsi="Arial"/>
          <w:sz w:val="21"/>
          <w:szCs w:val="21"/>
        </w:rPr>
        <w:t xml:space="preserve"> experiment-012b — exp-004 base with weightDecay=0.0025. 10/10 seeds at 55.0%, zero variance. The simplest configuration that achieves universal coverage.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2026-02-22T14:55:53.270Z</dcterms:created>
  <dcterms:modified xsi:type="dcterms:W3CDTF">2026-02-22T14:55:53.271Z</dcterms:modified>
</cp:coreProperties>
</file>

<file path=docProps/custom.xml><?xml version="1.0" encoding="utf-8"?>
<Properties xmlns="http://schemas.openxmlformats.org/officeDocument/2006/custom-properties" xmlns:vt="http://schemas.openxmlformats.org/officeDocument/2006/docPropsVTypes"/>
</file>