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Medicatiebeoordeling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antipsychotica__atypische</w:t>
            </w:r>
          </w:p>
        </w:tc>
        <w:tc>
          <w:tcPr>
            <w:tcW w:type="dxa" w:w="4680"/>
          </w:tcPr>
          <w:p>
            <w:r>
              <w:t>clozapine, clozapine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p>
      <w:r>
        <w:t>Geen dubbelmedicatie gevonden.</w:t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formoterol/beclometason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haloperidol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morfine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corticosteroiden_met_beta2_sympathicomimeticum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thyreomimetica</w:t>
            </w:r>
          </w:p>
        </w:tc>
        <w:tc>
          <w:tcPr>
            <w:tcW w:type="dxa" w:w="4680"/>
          </w:tcPr>
          <w:p>
            <w:r>
              <w:t>levothyroxine, levothyroxine</w:t>
            </w:r>
          </w:p>
        </w:tc>
      </w:tr>
      <w:tr>
        <w:tc>
          <w:tcPr>
            <w:tcW w:type="dxa" w:w="4680"/>
          </w:tcPr>
          <w:p>
            <w:r>
              <w:t>betablokkers__systemisch</w:t>
            </w:r>
          </w:p>
        </w:tc>
        <w:tc>
          <w:tcPr>
            <w:tcW w:type="dxa" w:w="4680"/>
          </w:tcPr>
          <w:p>
            <w:r>
              <w:t>metoprolol, metoprolol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1 (Lichte anticholinerge belasting (score = 1).)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metoprolol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koolzuuranhydrase_ii__remmers_met_betablokker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vitamine_b_groep</w:t>
            </w:r>
          </w:p>
        </w:tc>
        <w:tc>
          <w:tcPr>
            <w:tcW w:type="dxa" w:w="4680"/>
          </w:tcPr>
          <w:p>
            <w:r>
              <w:t>cyanocobalamine, foliumzuur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2 (Matige anticholinerge belasting (score = 2).)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isosorbidemononitraat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prednison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p>
      <w:r>
        <w:t>Geen STOPP-criteria getriggerd.</w:t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vitamine_b_groep</w:t>
            </w:r>
          </w:p>
        </w:tc>
        <w:tc>
          <w:tcPr>
            <w:tcW w:type="dxa" w:w="4680"/>
          </w:tcPr>
          <w:p>
            <w:r>
              <w:t>cyanocobalamine, foliumzuur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corticosteroiden__systemisch</w:t>
            </w:r>
          </w:p>
        </w:tc>
        <w:tc>
          <w:tcPr>
            <w:tcW w:type="dxa" w:w="4680"/>
          </w:tcPr>
          <w:p>
            <w:r>
              <w:t>prednison, prednison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1 (Lichte anticholinerge belasting (score = 1).)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prednison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