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_______________________________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об отложении рассмотрения дела об административном правонарушении, предусмотренном ч. 2 ст. 12.27 КоАП РФ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производстве ____________________________________________________ суда находится дело об административном правонарушении, предусмотренном ч. 2 ст. 12.27 КоАП РФ, в отношении меня, {{CLIENT_NAME_GEN}}.</w:t>
      </w:r>
    </w:p>
    <w:p w:rsidR="00000000" w:rsidDel="00000000" w:rsidP="00000000" w:rsidRDefault="00000000" w:rsidRPr="00000000" w14:paraId="0000000D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назначении рассмотрения дела мне стало известно лишь в день моего явления в подразделение ГИБДД и ознакомления с материалами дела. Заблаговременно повестка о вызове в суд мне не вручалась.</w:t>
      </w:r>
    </w:p>
    <w:p w:rsidR="00000000" w:rsidDel="00000000" w:rsidP="00000000" w:rsidRDefault="00000000" w:rsidRPr="00000000" w14:paraId="0000000E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фактическое уведомление о дате судебного рассмотрения произошло непосредственно в день самого заседания, что лишает меня возможности надлежащим образом подготовиться к защите.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своей защиты мне необходимо время для обращения к юристам, получения консультации, заключения соглашения и формирования правовой позиции по делу.</w:t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делу, имеет право пользоваться юридической помощью защитника.</w:t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ст. 29.4 КоАП РФ при подготовке к рассмотрению дела судья обязан обеспечить возможность реализации прав участников производства.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дела в день фактического уведомления о судебном заседании лишает меня разумного срока для обращения к специалистам и подготовки правовой позиции.</w:t>
      </w:r>
    </w:p>
    <w:p w:rsidR="00000000" w:rsidDel="00000000" w:rsidP="00000000" w:rsidRDefault="00000000" w:rsidRPr="00000000" w14:paraId="00000013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права на защиту является одной из гарантий законности производства по делу об административном правонарушении (ст. 1.6 КоАП РФ).</w:t>
      </w:r>
    </w:p>
    <w:p w:rsidR="00000000" w:rsidDel="00000000" w:rsidP="00000000" w:rsidRDefault="00000000" w:rsidRPr="00000000" w14:paraId="00000014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5">
      <w:pPr>
        <w:spacing w:after="80" w:before="8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7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Отложить рассмотрение дела для предоставления разумного срока на обращение к юристам, заключение соглашения с защитником и подготовку к судебному разбирательству.</w:t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        _____________ /{{CLIENT_SIGNATURE}}/</w:t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waRu/dEvBY4Tfo/TWAK5d6pTQ==">CgMxLjA4AHIhMU1XSEdQSUxTMGUwVm84dnlZUmpjT2pFNEZFZ2llRXBQ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