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8837A4" w:rsidRDefault="008C115A">
      <w:pPr>
        <w:spacing w:before="60"/>
        <w:ind w:left="6491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Додаток № 2</w:t>
      </w:r>
    </w:p>
    <w:p w:rsidR="00C17B41" w:rsidRPr="008837A4" w:rsidRDefault="008C115A">
      <w:pPr>
        <w:ind w:left="6491" w:right="357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8837A4" w:rsidRDefault="00C17B41">
      <w:pPr>
        <w:rPr>
          <w:rFonts w:ascii="Arial" w:hAnsi="Arial" w:cs="Arial"/>
          <w:sz w:val="26"/>
        </w:rPr>
      </w:pPr>
    </w:p>
    <w:p w:rsidR="00C17B41" w:rsidRPr="008837A4" w:rsidRDefault="00C17B41">
      <w:pPr>
        <w:spacing w:before="5"/>
        <w:rPr>
          <w:rFonts w:ascii="Arial" w:hAnsi="Arial" w:cs="Arial"/>
        </w:rPr>
      </w:pPr>
    </w:p>
    <w:p w:rsidR="00C17B41" w:rsidRPr="008837A4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w w:val="105"/>
        </w:rPr>
        <w:t>КОМЕРЦІЙНА ПРОПОЗИЦІЯ</w:t>
      </w:r>
      <w:r w:rsidR="008E5C68" w:rsidRPr="008837A4">
        <w:rPr>
          <w:rFonts w:ascii="Arial" w:hAnsi="Arial" w:cs="Arial"/>
          <w:w w:val="105"/>
          <w:lang w:val="uk-UA"/>
        </w:rPr>
        <w:t xml:space="preserve"> «</w:t>
      </w:r>
      <w:r w:rsidR="006A0284">
        <w:rPr>
          <w:rFonts w:ascii="Arial" w:hAnsi="Arial" w:cs="Arial"/>
          <w:w w:val="105"/>
          <w:lang w:val="uk-UA"/>
        </w:rPr>
        <w:t>Публічна 1</w:t>
      </w:r>
      <w:r w:rsidR="008E5C68" w:rsidRPr="008837A4">
        <w:rPr>
          <w:rFonts w:ascii="Arial" w:hAnsi="Arial" w:cs="Arial"/>
          <w:w w:val="105"/>
          <w:lang w:val="uk-UA"/>
        </w:rPr>
        <w:t>»</w:t>
      </w:r>
    </w:p>
    <w:p w:rsidR="00C17B41" w:rsidRPr="008837A4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</w:rPr>
        <w:t xml:space="preserve">для </w:t>
      </w:r>
      <w:r w:rsidRPr="008837A4">
        <w:rPr>
          <w:rFonts w:ascii="Arial" w:hAnsi="Arial" w:cs="Arial"/>
          <w:lang w:val="uk-UA"/>
        </w:rPr>
        <w:t>непобутових споживачі електричної енергії</w:t>
      </w:r>
    </w:p>
    <w:p w:rsidR="007C3E1B" w:rsidRPr="008837A4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lang w:val="uk-UA"/>
        </w:rPr>
        <w:t>на території Львівської області</w:t>
      </w:r>
    </w:p>
    <w:p w:rsidR="00C17B41" w:rsidRPr="008837A4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8837A4" w:rsidTr="00D460A6">
        <w:trPr>
          <w:trHeight w:val="280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8837A4" w:rsidRDefault="000C6555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8837A4">
              <w:rPr>
                <w:rFonts w:ascii="Arial" w:hAnsi="Arial" w:cs="Arial"/>
              </w:rPr>
              <w:t>аявність</w:t>
            </w:r>
            <w:proofErr w:type="spellEnd"/>
            <w:r w:rsidRPr="008837A4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8837A4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8837A4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8837A4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8837A4" w:rsidRDefault="008C115A" w:rsidP="008553A1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8837A4" w:rsidRDefault="00A04EC0" w:rsidP="008553A1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8837A4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8837A4" w:rsidRDefault="00A04EC0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</w:rPr>
              <w:t>в</w:t>
            </w:r>
            <w:r w:rsidR="000C6555" w:rsidRPr="008837A4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8837A4" w:rsidTr="00D460A6">
        <w:trPr>
          <w:trHeight w:val="2759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7F4815" w:rsidRPr="008837A4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: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7F4815" w:rsidRPr="008837A4" w:rsidRDefault="00540DB2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1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 xml:space="preserve">) 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1,</w:t>
            </w:r>
            <w:r w:rsidR="00C37EE4">
              <w:rPr>
                <w:rFonts w:ascii="Arial" w:hAnsi="Arial" w:cs="Arial"/>
                <w:sz w:val="24"/>
                <w:lang w:val="uk-UA"/>
              </w:rPr>
              <w:t>86685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1-ого класу напруги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, </w:t>
            </w:r>
          </w:p>
          <w:p w:rsidR="00540DB2" w:rsidRPr="008837A4" w:rsidRDefault="005B6B09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2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) 2,</w:t>
            </w:r>
            <w:r w:rsidR="00C37EE4">
              <w:rPr>
                <w:rFonts w:ascii="Arial" w:hAnsi="Arial" w:cs="Arial"/>
                <w:sz w:val="24"/>
                <w:lang w:val="uk-UA"/>
              </w:rPr>
              <w:t>37722</w:t>
            </w:r>
            <w:bookmarkStart w:id="0" w:name="_GoBack"/>
            <w:bookmarkEnd w:id="0"/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2-ого класу напруги;</w:t>
            </w:r>
          </w:p>
          <w:p w:rsidR="00A04EC0" w:rsidRPr="008837A4" w:rsidRDefault="00A04EC0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ціну на розподіл електричної енергії затверджений Регулятором (зазначається окремим рядком в рахунку) для оператора системи розподілу до якого підключений Споживач.</w:t>
            </w:r>
          </w:p>
          <w:p w:rsidR="00540DB2" w:rsidRPr="008837A4" w:rsidRDefault="00540DB2" w:rsidP="00540DB2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  <w:p w:rsidR="00540DB2" w:rsidRPr="008837A4" w:rsidRDefault="008837A4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Для споживачів з середньомісяч</w:t>
            </w:r>
            <w:r w:rsidR="00C1502A">
              <w:rPr>
                <w:rFonts w:ascii="Arial" w:hAnsi="Arial" w:cs="Arial"/>
                <w:sz w:val="24"/>
                <w:lang w:val="uk-UA"/>
              </w:rPr>
              <w:t xml:space="preserve">ним споживанням від 50 тис. кВт. год. </w:t>
            </w:r>
            <w:r w:rsidRPr="008837A4">
              <w:rPr>
                <w:rFonts w:ascii="Arial" w:hAnsi="Arial" w:cs="Arial"/>
                <w:sz w:val="24"/>
                <w:lang w:val="uk-UA"/>
              </w:rPr>
              <w:t xml:space="preserve">при відхиленні у споживанні впродовж доби </w:t>
            </w:r>
            <w:r w:rsidR="00C5091E" w:rsidRPr="00C5091E">
              <w:rPr>
                <w:rFonts w:ascii="Arial" w:hAnsi="Arial" w:cs="Arial"/>
                <w:sz w:val="24"/>
                <w:lang w:val="uk-UA"/>
              </w:rPr>
              <w:t>до</w:t>
            </w:r>
            <w:r w:rsidRPr="00C5091E">
              <w:rPr>
                <w:rFonts w:ascii="Arial" w:hAnsi="Arial" w:cs="Arial"/>
                <w:sz w:val="24"/>
                <w:lang w:val="uk-UA"/>
              </w:rPr>
              <w:t xml:space="preserve"> 100%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6F29B1" w:rsidRPr="008837A4" w:rsidRDefault="006F29B1" w:rsidP="008E5C68">
            <w:pPr>
              <w:pStyle w:val="TableParagraph"/>
              <w:ind w:left="0" w:right="94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8837A4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8837A4" w:rsidTr="00D460A6">
        <w:trPr>
          <w:trHeight w:val="3036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C5091E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8837A4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 w:rsidR="00C5091E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F47F5" w:rsidRPr="008837A4" w:rsidRDefault="006F47F5" w:rsidP="00C5091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8837A4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8837A4" w:rsidRDefault="007D2EE0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5</w:t>
            </w:r>
            <w:r w:rsidR="006F47F5" w:rsidRPr="008837A4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8837A4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BE19A3" w:rsidRPr="008837A4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О</w:t>
            </w:r>
            <w:r w:rsidRPr="008837A4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8837A4">
              <w:rPr>
                <w:rFonts w:ascii="Arial" w:hAnsi="Arial" w:cs="Arial"/>
                <w:sz w:val="24"/>
                <w:lang w:val="uk-UA"/>
              </w:rPr>
              <w:t>- т</w:t>
            </w:r>
            <w:r w:rsidRPr="008837A4">
              <w:rPr>
                <w:rFonts w:ascii="Arial" w:hAnsi="Arial" w:cs="Arial"/>
                <w:sz w:val="24"/>
              </w:rPr>
              <w:t xml:space="preserve">и робочих днів </w:t>
            </w:r>
            <w:r w:rsidRPr="008837A4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8837A4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8837A4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lastRenderedPageBreak/>
              <w:t>Термін надання рахунку за</w:t>
            </w:r>
            <w:r w:rsidRPr="008837A4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8837A4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8837A4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8837A4" w:rsidTr="00D460A6">
        <w:trPr>
          <w:trHeight w:val="138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внесення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платежів,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передбачених</w:t>
            </w:r>
            <w:r w:rsidRPr="008837A4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умовами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від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суми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заборгованості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кожний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день</w:t>
            </w:r>
            <w:r w:rsidRPr="008837A4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прострочення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8837A4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8837A4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8837A4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8837A4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8837A4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8837A4" w:rsidTr="00D460A6">
        <w:trPr>
          <w:trHeight w:val="83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8837A4" w:rsidRDefault="000C6555" w:rsidP="008837A4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8837A4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8837A4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8837A4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8837A4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8837A4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8837A4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8837A4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8837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37A4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8837A4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8837A4" w:rsidTr="00D460A6">
        <w:trPr>
          <w:trHeight w:val="4140"/>
        </w:trPr>
        <w:tc>
          <w:tcPr>
            <w:tcW w:w="2419" w:type="dxa"/>
          </w:tcPr>
          <w:p w:rsidR="00841D8D" w:rsidRPr="008837A4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lastRenderedPageBreak/>
              <w:t>В</w:t>
            </w:r>
            <w:r w:rsidRPr="008837A4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8837A4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8837A4" w:rsidRDefault="006F29B1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 xml:space="preserve">Оплата послуг з розподілу відбувається через постачальника з </w:t>
            </w:r>
            <w:r w:rsidR="00841D8D" w:rsidRPr="008837A4">
              <w:rPr>
                <w:rFonts w:ascii="Arial" w:hAnsi="Arial" w:cs="Arial"/>
                <w:sz w:val="24"/>
                <w:lang w:val="uk-UA"/>
              </w:rPr>
              <w:t>наступним переведенням цієї оплати оператору системи розподілу по тарифах затверджених для ОСР і вказується в рахунку окремим рядком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Інші умови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8837A4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8837A4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8837A4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8837A4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8837A4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C1502A">
              <w:rPr>
                <w:rFonts w:ascii="Arial" w:hAnsi="Arial" w:cs="Arial"/>
                <w:sz w:val="24"/>
                <w:lang w:val="uk-UA"/>
              </w:rPr>
              <w:t>2</w:t>
            </w:r>
            <w:r w:rsidRPr="008837A4">
              <w:rPr>
                <w:rFonts w:ascii="Arial" w:hAnsi="Arial" w:cs="Arial"/>
                <w:sz w:val="24"/>
                <w:lang w:val="uk-UA"/>
              </w:rPr>
              <w:t>0__р.</w:t>
            </w: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  <w:r w:rsidRPr="008837A4">
              <w:rPr>
                <w:rFonts w:ascii="Arial" w:hAnsi="Arial" w:cs="Arial"/>
                <w:b/>
                <w:sz w:val="24"/>
                <w:u w:val="single"/>
                <w:lang w:val="uk-UA"/>
              </w:rPr>
              <w:t>ПП «</w:t>
            </w:r>
            <w:proofErr w:type="spellStart"/>
            <w:r w:rsidRPr="008837A4">
              <w:rPr>
                <w:rFonts w:ascii="Arial" w:hAnsi="Arial" w:cs="Arial"/>
                <w:b/>
                <w:sz w:val="24"/>
                <w:u w:val="single"/>
                <w:lang w:val="uk-UA"/>
              </w:rPr>
              <w:t>Альтерхол</w:t>
            </w:r>
            <w:proofErr w:type="spellEnd"/>
            <w:r w:rsidRPr="008837A4">
              <w:rPr>
                <w:rFonts w:ascii="Arial" w:hAnsi="Arial" w:cs="Arial"/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(Назва Постачальника)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«     »  ___________20__р.</w:t>
            </w: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8837A4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8837A4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150F"/>
    <w:rsid w:val="001343ED"/>
    <w:rsid w:val="001824B5"/>
    <w:rsid w:val="00192D6E"/>
    <w:rsid w:val="001E36E2"/>
    <w:rsid w:val="001F40ED"/>
    <w:rsid w:val="0022255A"/>
    <w:rsid w:val="002C2D1F"/>
    <w:rsid w:val="002F3DF8"/>
    <w:rsid w:val="00326CEB"/>
    <w:rsid w:val="0033321D"/>
    <w:rsid w:val="00346EE3"/>
    <w:rsid w:val="00432085"/>
    <w:rsid w:val="004B08FE"/>
    <w:rsid w:val="00540DB2"/>
    <w:rsid w:val="005B6B09"/>
    <w:rsid w:val="0063647F"/>
    <w:rsid w:val="00675024"/>
    <w:rsid w:val="006A0284"/>
    <w:rsid w:val="006C43FB"/>
    <w:rsid w:val="006F29B1"/>
    <w:rsid w:val="006F47F5"/>
    <w:rsid w:val="0073640F"/>
    <w:rsid w:val="0075674E"/>
    <w:rsid w:val="007C3E1B"/>
    <w:rsid w:val="007D2EE0"/>
    <w:rsid w:val="007E2C80"/>
    <w:rsid w:val="007F4815"/>
    <w:rsid w:val="00836138"/>
    <w:rsid w:val="00841D8D"/>
    <w:rsid w:val="008553A1"/>
    <w:rsid w:val="008837A4"/>
    <w:rsid w:val="008A74FB"/>
    <w:rsid w:val="008B3430"/>
    <w:rsid w:val="008C115A"/>
    <w:rsid w:val="008C5DE9"/>
    <w:rsid w:val="008E5C68"/>
    <w:rsid w:val="00901D6E"/>
    <w:rsid w:val="00981CA3"/>
    <w:rsid w:val="009E0E96"/>
    <w:rsid w:val="00A04EC0"/>
    <w:rsid w:val="00A14356"/>
    <w:rsid w:val="00B72FAF"/>
    <w:rsid w:val="00BC73D7"/>
    <w:rsid w:val="00BE19A3"/>
    <w:rsid w:val="00C1502A"/>
    <w:rsid w:val="00C1735F"/>
    <w:rsid w:val="00C17B41"/>
    <w:rsid w:val="00C20D90"/>
    <w:rsid w:val="00C37EE4"/>
    <w:rsid w:val="00C40576"/>
    <w:rsid w:val="00C5091E"/>
    <w:rsid w:val="00C55DFB"/>
    <w:rsid w:val="00D460A6"/>
    <w:rsid w:val="00D9614A"/>
    <w:rsid w:val="00E307C4"/>
    <w:rsid w:val="00E807E6"/>
    <w:rsid w:val="00EC71D2"/>
    <w:rsid w:val="00ED225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C177-4F59-4EAC-9CF3-8077CA38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12</cp:revision>
  <cp:lastPrinted>2018-12-26T08:27:00Z</cp:lastPrinted>
  <dcterms:created xsi:type="dcterms:W3CDTF">2018-12-26T08:50:00Z</dcterms:created>
  <dcterms:modified xsi:type="dcterms:W3CDTF">2018-12-28T08:43:00Z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